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CA876" w14:textId="1817A878" w:rsidR="00AC12E7" w:rsidRDefault="00AC12E7">
      <w:pPr>
        <w:rPr>
          <w:sz w:val="20"/>
          <w:szCs w:val="20"/>
        </w:rPr>
      </w:pPr>
    </w:p>
    <w:p w14:paraId="007EF5DB" w14:textId="2E646A3E" w:rsidR="00B32BF1" w:rsidRPr="00AC12E7" w:rsidRDefault="008E2AEB">
      <w:pPr>
        <w:rPr>
          <w:sz w:val="20"/>
          <w:szCs w:val="20"/>
        </w:rPr>
      </w:pPr>
      <w:r w:rsidRPr="00AC12E7">
        <w:rPr>
          <w:sz w:val="20"/>
          <w:szCs w:val="20"/>
        </w:rPr>
        <w:t>Geachte collega,</w:t>
      </w:r>
    </w:p>
    <w:p w14:paraId="007EF5DC" w14:textId="77777777" w:rsidR="00B32BF1" w:rsidRPr="00AC12E7" w:rsidRDefault="008E2AEB" w:rsidP="009C1F93">
      <w:pPr>
        <w:spacing w:line="276" w:lineRule="auto"/>
        <w:rPr>
          <w:sz w:val="20"/>
          <w:szCs w:val="20"/>
        </w:rPr>
      </w:pPr>
      <w:r w:rsidRPr="00AC12E7">
        <w:rPr>
          <w:sz w:val="20"/>
          <w:szCs w:val="20"/>
        </w:rPr>
        <w:t xml:space="preserve">Middels deze brief willen wij u op de hoogte stellen van </w:t>
      </w:r>
      <w:r w:rsidR="00630763" w:rsidRPr="00AC12E7">
        <w:rPr>
          <w:sz w:val="20"/>
          <w:szCs w:val="20"/>
        </w:rPr>
        <w:t>de</w:t>
      </w:r>
      <w:r w:rsidRPr="00AC12E7">
        <w:rPr>
          <w:sz w:val="20"/>
          <w:szCs w:val="20"/>
        </w:rPr>
        <w:t xml:space="preserve"> nieuwe werkafspraak</w:t>
      </w:r>
      <w:r w:rsidR="00706936" w:rsidRPr="00AC12E7">
        <w:rPr>
          <w:sz w:val="20"/>
          <w:szCs w:val="20"/>
        </w:rPr>
        <w:t xml:space="preserve"> </w:t>
      </w:r>
      <w:r w:rsidR="00630763" w:rsidRPr="00AC12E7">
        <w:rPr>
          <w:sz w:val="20"/>
          <w:szCs w:val="20"/>
        </w:rPr>
        <w:t xml:space="preserve">‘Profylactische behandeling </w:t>
      </w:r>
      <w:r w:rsidR="00BA2133" w:rsidRPr="00AC12E7">
        <w:rPr>
          <w:sz w:val="20"/>
          <w:szCs w:val="20"/>
        </w:rPr>
        <w:t xml:space="preserve">met </w:t>
      </w:r>
      <w:r w:rsidR="00C84D77" w:rsidRPr="00AC12E7">
        <w:rPr>
          <w:sz w:val="20"/>
          <w:szCs w:val="20"/>
        </w:rPr>
        <w:t>acetylsalicylzuur</w:t>
      </w:r>
      <w:r w:rsidR="00AA6B40" w:rsidRPr="00AC12E7">
        <w:rPr>
          <w:sz w:val="20"/>
          <w:szCs w:val="20"/>
        </w:rPr>
        <w:t xml:space="preserve"> in de </w:t>
      </w:r>
      <w:r w:rsidR="006A22DD" w:rsidRPr="00AC12E7">
        <w:rPr>
          <w:sz w:val="20"/>
          <w:szCs w:val="20"/>
        </w:rPr>
        <w:t>zwangerschap</w:t>
      </w:r>
      <w:r w:rsidR="00AA6B40" w:rsidRPr="00AC12E7">
        <w:rPr>
          <w:sz w:val="20"/>
          <w:szCs w:val="20"/>
        </w:rPr>
        <w:t xml:space="preserve"> bij verhoogd risico op pre eclampsie</w:t>
      </w:r>
      <w:r w:rsidR="008B15BA" w:rsidRPr="00AC12E7">
        <w:rPr>
          <w:sz w:val="20"/>
          <w:szCs w:val="20"/>
        </w:rPr>
        <w:t>’.</w:t>
      </w:r>
      <w:r w:rsidR="00BA2133" w:rsidRPr="00AC12E7">
        <w:rPr>
          <w:sz w:val="20"/>
          <w:szCs w:val="20"/>
        </w:rPr>
        <w:t xml:space="preserve"> </w:t>
      </w:r>
    </w:p>
    <w:p w14:paraId="007EF5DD" w14:textId="77777777" w:rsidR="000B45E1" w:rsidRPr="00AC12E7" w:rsidRDefault="000B45E1" w:rsidP="000B45E1">
      <w:pPr>
        <w:rPr>
          <w:sz w:val="20"/>
          <w:szCs w:val="20"/>
        </w:rPr>
      </w:pPr>
      <w:r w:rsidRPr="00AC12E7">
        <w:rPr>
          <w:b/>
          <w:sz w:val="20"/>
          <w:szCs w:val="20"/>
        </w:rPr>
        <w:t>Achtergrond</w:t>
      </w:r>
      <w:r w:rsidRPr="00AC12E7">
        <w:rPr>
          <w:sz w:val="20"/>
          <w:szCs w:val="20"/>
        </w:rPr>
        <w:br/>
      </w:r>
      <w:r w:rsidR="00AA6B40" w:rsidRPr="00AC12E7">
        <w:rPr>
          <w:sz w:val="20"/>
          <w:szCs w:val="20"/>
        </w:rPr>
        <w:t>Hypertensieve aandoeningen in de zwangerschap</w:t>
      </w:r>
      <w:r w:rsidRPr="00AC12E7">
        <w:rPr>
          <w:sz w:val="20"/>
          <w:szCs w:val="20"/>
        </w:rPr>
        <w:t xml:space="preserve"> </w:t>
      </w:r>
      <w:r w:rsidR="00AA6B40" w:rsidRPr="00AC12E7">
        <w:rPr>
          <w:sz w:val="20"/>
          <w:szCs w:val="20"/>
        </w:rPr>
        <w:t>zijn</w:t>
      </w:r>
      <w:r w:rsidR="00577B92" w:rsidRPr="00AC12E7">
        <w:rPr>
          <w:sz w:val="20"/>
          <w:szCs w:val="20"/>
        </w:rPr>
        <w:t xml:space="preserve"> </w:t>
      </w:r>
      <w:r w:rsidR="00A27309" w:rsidRPr="00AC12E7">
        <w:rPr>
          <w:sz w:val="20"/>
          <w:szCs w:val="20"/>
        </w:rPr>
        <w:t>een belangrijke oorzaak van maternale en perinatale morbiditeit en mortaliteit.</w:t>
      </w:r>
      <w:r w:rsidR="00AA6B40" w:rsidRPr="00AC12E7">
        <w:rPr>
          <w:sz w:val="20"/>
          <w:szCs w:val="20"/>
        </w:rPr>
        <w:t xml:space="preserve"> Pre eclampsie</w:t>
      </w:r>
      <w:r w:rsidRPr="00AC12E7">
        <w:rPr>
          <w:sz w:val="20"/>
          <w:szCs w:val="20"/>
        </w:rPr>
        <w:t xml:space="preserve"> treft 2-8% van alle zwangere</w:t>
      </w:r>
      <w:r w:rsidR="006A22DD" w:rsidRPr="00AC12E7">
        <w:rPr>
          <w:sz w:val="20"/>
          <w:szCs w:val="20"/>
        </w:rPr>
        <w:t xml:space="preserve">n. </w:t>
      </w:r>
      <w:r w:rsidR="003E4821" w:rsidRPr="00AC12E7">
        <w:rPr>
          <w:sz w:val="20"/>
          <w:szCs w:val="20"/>
        </w:rPr>
        <w:br/>
      </w:r>
      <w:r w:rsidR="00C3455D" w:rsidRPr="00AC12E7">
        <w:rPr>
          <w:sz w:val="20"/>
          <w:szCs w:val="20"/>
        </w:rPr>
        <w:t>De m</w:t>
      </w:r>
      <w:r w:rsidR="00706936" w:rsidRPr="00AC12E7">
        <w:rPr>
          <w:sz w:val="20"/>
          <w:szCs w:val="20"/>
        </w:rPr>
        <w:t xml:space="preserve">aternale </w:t>
      </w:r>
      <w:r w:rsidR="00AA6B40" w:rsidRPr="00AC12E7">
        <w:rPr>
          <w:sz w:val="20"/>
          <w:szCs w:val="20"/>
        </w:rPr>
        <w:t>morbiditeit bestaat uit</w:t>
      </w:r>
      <w:r w:rsidRPr="00AC12E7">
        <w:rPr>
          <w:sz w:val="20"/>
          <w:szCs w:val="20"/>
        </w:rPr>
        <w:t>: stollingsproblemen, nier- en lever falen, cerebrovasculaire</w:t>
      </w:r>
      <w:r w:rsidR="00C45DB9" w:rsidRPr="00AC12E7">
        <w:rPr>
          <w:sz w:val="20"/>
          <w:szCs w:val="20"/>
        </w:rPr>
        <w:t xml:space="preserve"> </w:t>
      </w:r>
      <w:r w:rsidRPr="00AC12E7">
        <w:rPr>
          <w:sz w:val="20"/>
          <w:szCs w:val="20"/>
        </w:rPr>
        <w:t>accidenten</w:t>
      </w:r>
      <w:r w:rsidR="00706936" w:rsidRPr="00AC12E7">
        <w:rPr>
          <w:sz w:val="20"/>
          <w:szCs w:val="20"/>
        </w:rPr>
        <w:t>.</w:t>
      </w:r>
      <w:r w:rsidR="00C3455D" w:rsidRPr="00AC12E7">
        <w:rPr>
          <w:sz w:val="20"/>
          <w:szCs w:val="20"/>
        </w:rPr>
        <w:t xml:space="preserve"> De </w:t>
      </w:r>
      <w:r w:rsidR="00AA6B40" w:rsidRPr="00AC12E7">
        <w:rPr>
          <w:sz w:val="20"/>
          <w:szCs w:val="20"/>
        </w:rPr>
        <w:t>foetale morbiditeit bestaat uit</w:t>
      </w:r>
      <w:r w:rsidRPr="00AC12E7">
        <w:rPr>
          <w:sz w:val="20"/>
          <w:szCs w:val="20"/>
        </w:rPr>
        <w:t xml:space="preserve">: </w:t>
      </w:r>
      <w:r w:rsidR="00C45DB9" w:rsidRPr="00AC12E7">
        <w:rPr>
          <w:sz w:val="20"/>
          <w:szCs w:val="20"/>
        </w:rPr>
        <w:t>groter</w:t>
      </w:r>
      <w:r w:rsidR="00706936" w:rsidRPr="00AC12E7">
        <w:rPr>
          <w:sz w:val="20"/>
          <w:szCs w:val="20"/>
        </w:rPr>
        <w:t xml:space="preserve"> risico </w:t>
      </w:r>
      <w:r w:rsidRPr="00AC12E7">
        <w:rPr>
          <w:sz w:val="20"/>
          <w:szCs w:val="20"/>
        </w:rPr>
        <w:t>op vroeggeboorte, groeiretardatie en perinatale sterfte</w:t>
      </w:r>
      <w:r w:rsidR="00706936" w:rsidRPr="00AC12E7">
        <w:rPr>
          <w:sz w:val="20"/>
          <w:szCs w:val="20"/>
        </w:rPr>
        <w:t>;</w:t>
      </w:r>
      <w:r w:rsidRPr="00AC12E7">
        <w:rPr>
          <w:sz w:val="20"/>
          <w:szCs w:val="20"/>
        </w:rPr>
        <w:t xml:space="preserve"> </w:t>
      </w:r>
      <w:r w:rsidR="00706936" w:rsidRPr="00AC12E7">
        <w:rPr>
          <w:sz w:val="20"/>
          <w:szCs w:val="20"/>
        </w:rPr>
        <w:t xml:space="preserve">daarnaast </w:t>
      </w:r>
      <w:r w:rsidR="00577B92" w:rsidRPr="00AC12E7">
        <w:rPr>
          <w:sz w:val="20"/>
          <w:szCs w:val="20"/>
        </w:rPr>
        <w:t>hebben</w:t>
      </w:r>
      <w:r w:rsidR="00706936" w:rsidRPr="00AC12E7">
        <w:rPr>
          <w:sz w:val="20"/>
          <w:szCs w:val="20"/>
        </w:rPr>
        <w:t xml:space="preserve"> </w:t>
      </w:r>
      <w:r w:rsidRPr="00AC12E7">
        <w:rPr>
          <w:sz w:val="20"/>
          <w:szCs w:val="20"/>
        </w:rPr>
        <w:t xml:space="preserve">deze kinderen </w:t>
      </w:r>
      <w:r w:rsidR="008C028C" w:rsidRPr="00AC12E7">
        <w:rPr>
          <w:sz w:val="20"/>
          <w:szCs w:val="20"/>
        </w:rPr>
        <w:t xml:space="preserve">een groter </w:t>
      </w:r>
      <w:r w:rsidRPr="00AC12E7">
        <w:rPr>
          <w:sz w:val="20"/>
          <w:szCs w:val="20"/>
        </w:rPr>
        <w:t xml:space="preserve">risico op diabetes type 2, hypertensie en </w:t>
      </w:r>
      <w:r w:rsidR="008C028C" w:rsidRPr="00AC12E7">
        <w:rPr>
          <w:sz w:val="20"/>
          <w:szCs w:val="20"/>
        </w:rPr>
        <w:t xml:space="preserve">andere </w:t>
      </w:r>
      <w:r w:rsidRPr="00AC12E7">
        <w:rPr>
          <w:sz w:val="20"/>
          <w:szCs w:val="20"/>
        </w:rPr>
        <w:t>cardiovasculaire aandoeningen</w:t>
      </w:r>
      <w:r w:rsidR="00C45DB9" w:rsidRPr="00AC12E7">
        <w:rPr>
          <w:sz w:val="20"/>
          <w:szCs w:val="20"/>
        </w:rPr>
        <w:t xml:space="preserve"> in hun latere leven</w:t>
      </w:r>
      <w:r w:rsidRPr="00AC12E7">
        <w:rPr>
          <w:sz w:val="20"/>
          <w:szCs w:val="20"/>
        </w:rPr>
        <w:t>.</w:t>
      </w:r>
    </w:p>
    <w:p w14:paraId="007EF5DE" w14:textId="77777777" w:rsidR="00AA6B40" w:rsidRPr="00AC12E7" w:rsidRDefault="00CB1182" w:rsidP="00CB1182">
      <w:pPr>
        <w:rPr>
          <w:sz w:val="20"/>
          <w:szCs w:val="20"/>
        </w:rPr>
      </w:pPr>
      <w:r w:rsidRPr="00AC12E7">
        <w:rPr>
          <w:b/>
          <w:sz w:val="20"/>
          <w:szCs w:val="20"/>
        </w:rPr>
        <w:t>Doel</w:t>
      </w:r>
      <w:r w:rsidRPr="00AC12E7">
        <w:rPr>
          <w:b/>
          <w:sz w:val="20"/>
          <w:szCs w:val="20"/>
        </w:rPr>
        <w:br/>
      </w:r>
      <w:r w:rsidR="00AA6B40" w:rsidRPr="00AC12E7">
        <w:rPr>
          <w:sz w:val="20"/>
          <w:szCs w:val="20"/>
        </w:rPr>
        <w:t xml:space="preserve">Reductie van pre eclampsie bij geïdentificeerde risicofactoren </w:t>
      </w:r>
    </w:p>
    <w:p w14:paraId="3B8F13FF" w14:textId="77777777" w:rsidR="009C1F93" w:rsidRPr="00AC12E7" w:rsidRDefault="001E5061" w:rsidP="002A44C3">
      <w:pPr>
        <w:pStyle w:val="Lijstalinea"/>
        <w:numPr>
          <w:ilvl w:val="0"/>
          <w:numId w:val="22"/>
        </w:numPr>
        <w:rPr>
          <w:sz w:val="20"/>
          <w:szCs w:val="20"/>
        </w:rPr>
      </w:pPr>
      <w:r w:rsidRPr="00AC12E7">
        <w:rPr>
          <w:b/>
          <w:sz w:val="20"/>
          <w:szCs w:val="20"/>
        </w:rPr>
        <w:t xml:space="preserve">Sterk </w:t>
      </w:r>
      <w:r w:rsidR="009B20D5" w:rsidRPr="00AC12E7">
        <w:rPr>
          <w:b/>
          <w:sz w:val="20"/>
          <w:szCs w:val="20"/>
        </w:rPr>
        <w:t xml:space="preserve">geassocieerde </w:t>
      </w:r>
      <w:r w:rsidR="006A22DD" w:rsidRPr="00AC12E7">
        <w:rPr>
          <w:b/>
          <w:sz w:val="20"/>
          <w:szCs w:val="20"/>
        </w:rPr>
        <w:t>r</w:t>
      </w:r>
      <w:r w:rsidR="00CB1182" w:rsidRPr="00AC12E7">
        <w:rPr>
          <w:b/>
          <w:sz w:val="20"/>
          <w:szCs w:val="20"/>
        </w:rPr>
        <w:t>isicofactoren</w:t>
      </w:r>
      <w:r w:rsidR="009C1F93" w:rsidRPr="00AC12E7">
        <w:rPr>
          <w:b/>
          <w:sz w:val="20"/>
          <w:szCs w:val="20"/>
        </w:rPr>
        <w:br/>
      </w:r>
      <w:r w:rsidR="009C1F93" w:rsidRPr="00AC12E7">
        <w:rPr>
          <w:sz w:val="20"/>
          <w:szCs w:val="20"/>
        </w:rPr>
        <w:t>Pre-eclampsie in een eerdere zwangerschap</w:t>
      </w:r>
    </w:p>
    <w:p w14:paraId="211B63FF" w14:textId="29BB5CBB" w:rsidR="009C1F93" w:rsidRPr="00AC12E7" w:rsidRDefault="009C1F93" w:rsidP="009C1F93">
      <w:pPr>
        <w:pStyle w:val="Lijstalinea"/>
        <w:ind w:left="1440"/>
        <w:rPr>
          <w:sz w:val="20"/>
          <w:szCs w:val="20"/>
        </w:rPr>
      </w:pPr>
      <w:r w:rsidRPr="00AC12E7">
        <w:rPr>
          <w:sz w:val="20"/>
          <w:szCs w:val="20"/>
        </w:rPr>
        <w:t>Chronische nierziekten</w:t>
      </w:r>
      <w:r w:rsidR="0081329A" w:rsidRPr="00AC12E7">
        <w:rPr>
          <w:sz w:val="20"/>
          <w:szCs w:val="20"/>
        </w:rPr>
        <w:br/>
        <w:t>Pre-existente hypertensie</w:t>
      </w:r>
    </w:p>
    <w:p w14:paraId="217EC935" w14:textId="73EB4B25" w:rsidR="009C1F93" w:rsidRPr="00AC12E7" w:rsidRDefault="009C1F93" w:rsidP="009C1F93">
      <w:pPr>
        <w:pStyle w:val="Lijstalinea"/>
        <w:ind w:left="1440"/>
        <w:rPr>
          <w:sz w:val="20"/>
          <w:szCs w:val="20"/>
        </w:rPr>
      </w:pPr>
      <w:r w:rsidRPr="00AC12E7">
        <w:rPr>
          <w:sz w:val="20"/>
          <w:szCs w:val="20"/>
        </w:rPr>
        <w:t xml:space="preserve">Auto-immuun aandoeningen zoals SLE of APS </w:t>
      </w:r>
    </w:p>
    <w:p w14:paraId="688D3BFC" w14:textId="10F49AC8" w:rsidR="00797CF4" w:rsidRDefault="009C1F93" w:rsidP="00577B92">
      <w:pPr>
        <w:pStyle w:val="Lijstalinea"/>
        <w:ind w:left="1440"/>
        <w:rPr>
          <w:sz w:val="20"/>
          <w:szCs w:val="20"/>
          <w:lang w:val="fr-FR"/>
        </w:rPr>
      </w:pPr>
      <w:r w:rsidRPr="00AC12E7">
        <w:rPr>
          <w:sz w:val="20"/>
          <w:szCs w:val="20"/>
          <w:lang w:val="fr-FR"/>
        </w:rPr>
        <w:t xml:space="preserve">Type 1 of 2 </w:t>
      </w:r>
      <w:proofErr w:type="spellStart"/>
      <w:r w:rsidRPr="00AC12E7">
        <w:rPr>
          <w:sz w:val="20"/>
          <w:szCs w:val="20"/>
          <w:lang w:val="fr-FR"/>
        </w:rPr>
        <w:t>diabetes</w:t>
      </w:r>
      <w:proofErr w:type="spellEnd"/>
      <w:r w:rsidRPr="00AC12E7">
        <w:rPr>
          <w:sz w:val="20"/>
          <w:szCs w:val="20"/>
          <w:lang w:val="fr-FR"/>
        </w:rPr>
        <w:t xml:space="preserve"> </w:t>
      </w:r>
      <w:proofErr w:type="spellStart"/>
      <w:r w:rsidRPr="00AC12E7">
        <w:rPr>
          <w:sz w:val="20"/>
          <w:szCs w:val="20"/>
          <w:lang w:val="fr-FR"/>
        </w:rPr>
        <w:t>mellitus</w:t>
      </w:r>
      <w:proofErr w:type="spellEnd"/>
    </w:p>
    <w:p w14:paraId="12E2A434" w14:textId="77777777" w:rsidR="00AC12E7" w:rsidRPr="00AC12E7" w:rsidRDefault="00AC12E7" w:rsidP="00577B92">
      <w:pPr>
        <w:pStyle w:val="Lijstalinea"/>
        <w:ind w:left="1440"/>
        <w:rPr>
          <w:sz w:val="20"/>
          <w:szCs w:val="20"/>
        </w:rPr>
      </w:pPr>
    </w:p>
    <w:p w14:paraId="2C8D469D" w14:textId="48014E07" w:rsidR="0081329A" w:rsidRPr="00AC12E7" w:rsidRDefault="00C3455D" w:rsidP="00FA0944">
      <w:pPr>
        <w:pStyle w:val="Lijstalinea"/>
        <w:numPr>
          <w:ilvl w:val="0"/>
          <w:numId w:val="22"/>
        </w:numPr>
        <w:rPr>
          <w:b/>
          <w:sz w:val="20"/>
          <w:szCs w:val="20"/>
          <w:u w:val="single"/>
        </w:rPr>
      </w:pPr>
      <w:r w:rsidRPr="00AC12E7">
        <w:rPr>
          <w:b/>
          <w:sz w:val="20"/>
          <w:szCs w:val="20"/>
        </w:rPr>
        <w:t>Z</w:t>
      </w:r>
      <w:r w:rsidR="001E5061" w:rsidRPr="00AC12E7">
        <w:rPr>
          <w:b/>
          <w:sz w:val="20"/>
          <w:szCs w:val="20"/>
        </w:rPr>
        <w:t xml:space="preserve">wak geassocieerde  </w:t>
      </w:r>
      <w:r w:rsidRPr="00AC12E7">
        <w:rPr>
          <w:b/>
          <w:sz w:val="20"/>
          <w:szCs w:val="20"/>
        </w:rPr>
        <w:t>ris</w:t>
      </w:r>
      <w:r w:rsidR="00445CE1" w:rsidRPr="00AC12E7">
        <w:rPr>
          <w:b/>
          <w:sz w:val="20"/>
          <w:szCs w:val="20"/>
        </w:rPr>
        <w:t>i</w:t>
      </w:r>
      <w:r w:rsidRPr="00AC12E7">
        <w:rPr>
          <w:b/>
          <w:sz w:val="20"/>
          <w:szCs w:val="20"/>
        </w:rPr>
        <w:t>cofactoren</w:t>
      </w:r>
      <w:r w:rsidR="0081329A" w:rsidRPr="00AC12E7">
        <w:rPr>
          <w:b/>
          <w:sz w:val="20"/>
          <w:szCs w:val="20"/>
        </w:rPr>
        <w:br/>
      </w:r>
      <w:r w:rsidR="0081329A" w:rsidRPr="00AC12E7">
        <w:rPr>
          <w:sz w:val="20"/>
          <w:szCs w:val="20"/>
        </w:rPr>
        <w:t xml:space="preserve">Nullipariteit </w:t>
      </w:r>
      <w:r w:rsidR="0081329A" w:rsidRPr="00AC12E7">
        <w:rPr>
          <w:sz w:val="20"/>
          <w:szCs w:val="20"/>
        </w:rPr>
        <w:br/>
        <w:t>Maternale leeftijd ≥ 40 jaar</w:t>
      </w:r>
      <w:r w:rsidR="0081329A" w:rsidRPr="00AC12E7">
        <w:rPr>
          <w:sz w:val="20"/>
          <w:szCs w:val="20"/>
        </w:rPr>
        <w:br/>
        <w:t>Interval tussen zwangerschappen &gt; 10-jaar</w:t>
      </w:r>
      <w:r w:rsidR="0081329A" w:rsidRPr="00AC12E7">
        <w:rPr>
          <w:sz w:val="20"/>
          <w:szCs w:val="20"/>
        </w:rPr>
        <w:br/>
        <w:t>Pre-eclampsie in de familie-anamneses (moeder of zuster)</w:t>
      </w:r>
      <w:r w:rsidR="0081329A" w:rsidRPr="00AC12E7">
        <w:rPr>
          <w:sz w:val="20"/>
          <w:szCs w:val="20"/>
        </w:rPr>
        <w:br/>
        <w:t>Obesitas (BMI &gt; 35 kg/m2 )</w:t>
      </w:r>
      <w:r w:rsidR="0081329A" w:rsidRPr="00AC12E7">
        <w:rPr>
          <w:sz w:val="20"/>
          <w:szCs w:val="20"/>
        </w:rPr>
        <w:br/>
        <w:t>Meerlingzwangerschap</w:t>
      </w:r>
      <w:r w:rsidR="0081329A" w:rsidRPr="00AC12E7">
        <w:rPr>
          <w:sz w:val="20"/>
          <w:szCs w:val="20"/>
        </w:rPr>
        <w:br/>
        <w:t>Placentaire insufficiëntie in de obstetrische voorgeschiedenis (bijv. eerder kind met laag geboortegewicht of perinatale sterfte t.g.v. placenta insufficiëntie of onverklaarde perinatale sterfte)</w:t>
      </w:r>
      <w:r w:rsidR="0081329A" w:rsidRPr="00AC12E7">
        <w:rPr>
          <w:sz w:val="20"/>
          <w:szCs w:val="20"/>
        </w:rPr>
        <w:br/>
        <w:t>Zwangerschap na eiceldonatie</w:t>
      </w:r>
      <w:r w:rsidR="00AC12E7">
        <w:rPr>
          <w:sz w:val="20"/>
          <w:szCs w:val="20"/>
        </w:rPr>
        <w:br/>
      </w:r>
    </w:p>
    <w:p w14:paraId="58495C7C" w14:textId="03E0446D" w:rsidR="00DB3EFD" w:rsidRDefault="00CB1182" w:rsidP="00DB3EFD">
      <w:pPr>
        <w:autoSpaceDE w:val="0"/>
        <w:autoSpaceDN w:val="0"/>
        <w:adjustRightInd w:val="0"/>
        <w:spacing w:after="0" w:line="240" w:lineRule="auto"/>
        <w:rPr>
          <w:sz w:val="20"/>
          <w:szCs w:val="20"/>
        </w:rPr>
      </w:pPr>
      <w:r w:rsidRPr="00AC12E7">
        <w:rPr>
          <w:b/>
          <w:sz w:val="20"/>
          <w:szCs w:val="20"/>
        </w:rPr>
        <w:t>Behandeling</w:t>
      </w:r>
      <w:r w:rsidR="00577B92" w:rsidRPr="00AC12E7">
        <w:rPr>
          <w:b/>
          <w:sz w:val="20"/>
          <w:szCs w:val="20"/>
        </w:rPr>
        <w:t>:</w:t>
      </w:r>
      <w:r w:rsidR="001E5061" w:rsidRPr="00AC12E7">
        <w:rPr>
          <w:sz w:val="20"/>
          <w:szCs w:val="20"/>
        </w:rPr>
        <w:t xml:space="preserve"> </w:t>
      </w:r>
      <w:r w:rsidR="006A22DD" w:rsidRPr="00AC12E7">
        <w:rPr>
          <w:sz w:val="20"/>
          <w:szCs w:val="20"/>
        </w:rPr>
        <w:t>Zwangeren</w:t>
      </w:r>
      <w:r w:rsidR="001E5061" w:rsidRPr="00AC12E7">
        <w:rPr>
          <w:sz w:val="20"/>
          <w:szCs w:val="20"/>
        </w:rPr>
        <w:t xml:space="preserve"> met 1 sterk geassocieerde </w:t>
      </w:r>
      <w:r w:rsidR="006A22DD" w:rsidRPr="00AC12E7">
        <w:rPr>
          <w:sz w:val="20"/>
          <w:szCs w:val="20"/>
        </w:rPr>
        <w:t>risicofactor</w:t>
      </w:r>
      <w:r w:rsidR="001E5061" w:rsidRPr="00AC12E7">
        <w:rPr>
          <w:sz w:val="20"/>
          <w:szCs w:val="20"/>
        </w:rPr>
        <w:t xml:space="preserve"> of </w:t>
      </w:r>
      <w:r w:rsidR="00D7646E" w:rsidRPr="00AC12E7">
        <w:rPr>
          <w:sz w:val="20"/>
          <w:szCs w:val="20"/>
        </w:rPr>
        <w:t>2</w:t>
      </w:r>
      <w:r w:rsidR="00714633" w:rsidRPr="00AC12E7">
        <w:rPr>
          <w:sz w:val="20"/>
          <w:szCs w:val="20"/>
        </w:rPr>
        <w:t xml:space="preserve"> of meer</w:t>
      </w:r>
      <w:r w:rsidR="001E5061" w:rsidRPr="00AC12E7">
        <w:rPr>
          <w:sz w:val="20"/>
          <w:szCs w:val="20"/>
        </w:rPr>
        <w:t xml:space="preserve"> gestapelde zwak geassocieerde risicofa</w:t>
      </w:r>
      <w:r w:rsidR="00C3455D" w:rsidRPr="00AC12E7">
        <w:rPr>
          <w:sz w:val="20"/>
          <w:szCs w:val="20"/>
        </w:rPr>
        <w:t xml:space="preserve">ctoren </w:t>
      </w:r>
      <w:r w:rsidR="001E5061" w:rsidRPr="00AC12E7">
        <w:rPr>
          <w:sz w:val="20"/>
          <w:szCs w:val="20"/>
        </w:rPr>
        <w:t xml:space="preserve"> </w:t>
      </w:r>
      <w:r w:rsidR="00C3455D" w:rsidRPr="00AC12E7">
        <w:rPr>
          <w:sz w:val="20"/>
          <w:szCs w:val="20"/>
        </w:rPr>
        <w:t>wordt geadviseerd</w:t>
      </w:r>
      <w:r w:rsidR="001E5061" w:rsidRPr="00AC12E7">
        <w:rPr>
          <w:sz w:val="20"/>
          <w:szCs w:val="20"/>
        </w:rPr>
        <w:t xml:space="preserve"> </w:t>
      </w:r>
      <w:r w:rsidR="00C84D77" w:rsidRPr="00AC12E7">
        <w:rPr>
          <w:sz w:val="20"/>
          <w:szCs w:val="20"/>
        </w:rPr>
        <w:t>acetylsalicylzuur</w:t>
      </w:r>
      <w:r w:rsidR="001E5061" w:rsidRPr="00AC12E7">
        <w:rPr>
          <w:sz w:val="20"/>
          <w:szCs w:val="20"/>
        </w:rPr>
        <w:t xml:space="preserve"> 80 mg</w:t>
      </w:r>
      <w:r w:rsidR="00E23AA1" w:rsidRPr="00AC12E7">
        <w:rPr>
          <w:sz w:val="20"/>
          <w:szCs w:val="20"/>
        </w:rPr>
        <w:t>/d</w:t>
      </w:r>
      <w:r w:rsidR="00DB3EFD">
        <w:rPr>
          <w:sz w:val="20"/>
          <w:szCs w:val="20"/>
        </w:rPr>
        <w:t>ag</w:t>
      </w:r>
      <w:r w:rsidR="001E5061" w:rsidRPr="00AC12E7">
        <w:rPr>
          <w:sz w:val="20"/>
          <w:szCs w:val="20"/>
        </w:rPr>
        <w:t xml:space="preserve">  </w:t>
      </w:r>
      <w:r w:rsidR="0081329A" w:rsidRPr="00AC12E7">
        <w:rPr>
          <w:sz w:val="20"/>
          <w:szCs w:val="20"/>
        </w:rPr>
        <w:t xml:space="preserve">te gebruiken </w:t>
      </w:r>
      <w:r w:rsidR="001E5061" w:rsidRPr="00AC12E7">
        <w:rPr>
          <w:sz w:val="20"/>
          <w:szCs w:val="20"/>
        </w:rPr>
        <w:t>tussen 1</w:t>
      </w:r>
      <w:r w:rsidR="00FA0944" w:rsidRPr="00AC12E7">
        <w:rPr>
          <w:sz w:val="20"/>
          <w:szCs w:val="20"/>
        </w:rPr>
        <w:t xml:space="preserve">2- </w:t>
      </w:r>
      <w:r w:rsidR="001E5061" w:rsidRPr="00AC12E7">
        <w:rPr>
          <w:sz w:val="20"/>
          <w:szCs w:val="20"/>
        </w:rPr>
        <w:t xml:space="preserve">36 weken </w:t>
      </w:r>
      <w:r w:rsidR="0081329A" w:rsidRPr="00AC12E7">
        <w:rPr>
          <w:sz w:val="20"/>
          <w:szCs w:val="20"/>
        </w:rPr>
        <w:t>amenorroeduur</w:t>
      </w:r>
      <w:r w:rsidR="002A44C3" w:rsidRPr="00AC12E7">
        <w:rPr>
          <w:sz w:val="20"/>
          <w:szCs w:val="20"/>
        </w:rPr>
        <w:t xml:space="preserve">. </w:t>
      </w:r>
    </w:p>
    <w:p w14:paraId="007EF5EC" w14:textId="2F29F3A6" w:rsidR="00560330" w:rsidRPr="00E43825" w:rsidRDefault="00BD6F16" w:rsidP="00E43825">
      <w:pPr>
        <w:autoSpaceDE w:val="0"/>
        <w:autoSpaceDN w:val="0"/>
        <w:adjustRightInd w:val="0"/>
        <w:spacing w:after="0" w:line="240" w:lineRule="auto"/>
        <w:rPr>
          <w:rFonts w:ascii="Calibri" w:hAnsi="Calibri" w:cs="Calibri"/>
          <w:sz w:val="23"/>
          <w:szCs w:val="23"/>
        </w:rPr>
      </w:pPr>
      <w:r w:rsidRPr="00BD6F16">
        <w:rPr>
          <w:sz w:val="20"/>
          <w:szCs w:val="20"/>
        </w:rPr>
        <w:t>De</w:t>
      </w:r>
      <w:r>
        <w:rPr>
          <w:sz w:val="20"/>
          <w:szCs w:val="20"/>
        </w:rPr>
        <w:t xml:space="preserve"> absolute</w:t>
      </w:r>
      <w:r w:rsidRPr="00BD6F16">
        <w:rPr>
          <w:sz w:val="20"/>
          <w:szCs w:val="20"/>
        </w:rPr>
        <w:t xml:space="preserve"> risico reductie op ontwikkeling van pre-eclampsie is 7.4% bij gebruik van acetylsalicylzuur.</w:t>
      </w:r>
      <w:r w:rsidRPr="00E43825">
        <w:rPr>
          <w:rFonts w:ascii="Calibri" w:hAnsi="Calibri" w:cs="Calibri"/>
          <w:sz w:val="20"/>
          <w:szCs w:val="20"/>
        </w:rPr>
        <w:t xml:space="preserve"> </w:t>
      </w:r>
      <w:r w:rsidR="00DB3EFD" w:rsidRPr="00E43825">
        <w:rPr>
          <w:rFonts w:ascii="Calibri" w:hAnsi="Calibri" w:cs="Calibri"/>
          <w:sz w:val="20"/>
          <w:szCs w:val="20"/>
        </w:rPr>
        <w:t>Om één geval van pre-eclampsie te voorkomen dienen 13</w:t>
      </w:r>
      <w:r w:rsidRPr="00E43825">
        <w:rPr>
          <w:rFonts w:ascii="Calibri" w:hAnsi="Calibri" w:cs="Calibri"/>
          <w:sz w:val="20"/>
          <w:szCs w:val="20"/>
        </w:rPr>
        <w:t xml:space="preserve"> </w:t>
      </w:r>
      <w:r w:rsidR="00DB3EFD" w:rsidRPr="00E43825">
        <w:rPr>
          <w:rFonts w:ascii="Calibri" w:hAnsi="Calibri" w:cs="Calibri"/>
          <w:sz w:val="20"/>
          <w:szCs w:val="20"/>
        </w:rPr>
        <w:t xml:space="preserve">zwangeren met een verhoogd risicoprofiel ≤16 weken </w:t>
      </w:r>
      <w:r w:rsidRPr="00E43825">
        <w:rPr>
          <w:rFonts w:ascii="Calibri" w:hAnsi="Calibri" w:cs="Calibri"/>
          <w:sz w:val="20"/>
          <w:szCs w:val="20"/>
        </w:rPr>
        <w:t xml:space="preserve">zwangerschap te starten met </w:t>
      </w:r>
      <w:r w:rsidR="00DB3EFD" w:rsidRPr="00E43825">
        <w:rPr>
          <w:rFonts w:ascii="Calibri" w:hAnsi="Calibri" w:cs="Calibri"/>
          <w:sz w:val="20"/>
          <w:szCs w:val="20"/>
        </w:rPr>
        <w:t xml:space="preserve">acetylsalicylzuur (NNT, </w:t>
      </w:r>
      <w:proofErr w:type="spellStart"/>
      <w:r w:rsidR="00DB3EFD" w:rsidRPr="00E43825">
        <w:rPr>
          <w:rFonts w:ascii="Calibri" w:hAnsi="Calibri" w:cs="Calibri"/>
          <w:sz w:val="20"/>
          <w:szCs w:val="20"/>
        </w:rPr>
        <w:t>Number</w:t>
      </w:r>
      <w:proofErr w:type="spellEnd"/>
      <w:r w:rsidR="00DB3EFD" w:rsidRPr="00E43825">
        <w:rPr>
          <w:rFonts w:ascii="Calibri" w:hAnsi="Calibri" w:cs="Calibri"/>
          <w:sz w:val="20"/>
          <w:szCs w:val="20"/>
        </w:rPr>
        <w:t xml:space="preserve"> </w:t>
      </w:r>
      <w:proofErr w:type="spellStart"/>
      <w:r w:rsidR="00DB3EFD" w:rsidRPr="00E43825">
        <w:rPr>
          <w:rFonts w:ascii="Calibri" w:hAnsi="Calibri" w:cs="Calibri"/>
          <w:sz w:val="20"/>
          <w:szCs w:val="20"/>
        </w:rPr>
        <w:t>Needed</w:t>
      </w:r>
      <w:proofErr w:type="spellEnd"/>
      <w:r w:rsidR="00DB3EFD" w:rsidRPr="00E43825">
        <w:rPr>
          <w:rFonts w:ascii="Calibri" w:hAnsi="Calibri" w:cs="Calibri"/>
          <w:sz w:val="20"/>
          <w:szCs w:val="20"/>
        </w:rPr>
        <w:t xml:space="preserve"> </w:t>
      </w:r>
      <w:proofErr w:type="spellStart"/>
      <w:r w:rsidR="00DB3EFD" w:rsidRPr="00E43825">
        <w:rPr>
          <w:rFonts w:ascii="Calibri" w:hAnsi="Calibri" w:cs="Calibri"/>
          <w:sz w:val="20"/>
          <w:szCs w:val="20"/>
        </w:rPr>
        <w:t>to</w:t>
      </w:r>
      <w:proofErr w:type="spellEnd"/>
      <w:r w:rsidR="00DB3EFD" w:rsidRPr="00E43825">
        <w:rPr>
          <w:rFonts w:ascii="Calibri" w:hAnsi="Calibri" w:cs="Calibri"/>
          <w:sz w:val="20"/>
          <w:szCs w:val="20"/>
        </w:rPr>
        <w:t xml:space="preserve"> </w:t>
      </w:r>
      <w:proofErr w:type="spellStart"/>
      <w:r w:rsidR="00DB3EFD" w:rsidRPr="00E43825">
        <w:rPr>
          <w:rFonts w:ascii="Calibri" w:hAnsi="Calibri" w:cs="Calibri"/>
          <w:sz w:val="20"/>
          <w:szCs w:val="20"/>
        </w:rPr>
        <w:t>Treat</w:t>
      </w:r>
      <w:proofErr w:type="spellEnd"/>
      <w:r w:rsidR="00DB3EFD" w:rsidRPr="00E43825">
        <w:rPr>
          <w:rFonts w:ascii="Calibri" w:hAnsi="Calibri" w:cs="Calibri"/>
          <w:sz w:val="20"/>
          <w:szCs w:val="20"/>
        </w:rPr>
        <w:t>: 13,5)</w:t>
      </w:r>
      <w:r w:rsidR="00415916">
        <w:rPr>
          <w:rFonts w:ascii="Calibri" w:hAnsi="Calibri" w:cs="Calibri"/>
          <w:sz w:val="20"/>
          <w:szCs w:val="20"/>
        </w:rPr>
        <w:t>.</w:t>
      </w:r>
      <w:r w:rsidRPr="00E43825">
        <w:rPr>
          <w:rFonts w:ascii="Calibri" w:hAnsi="Calibri" w:cs="Calibri"/>
          <w:sz w:val="20"/>
          <w:szCs w:val="20"/>
          <w:vertAlign w:val="superscript"/>
        </w:rPr>
        <w:t>1</w:t>
      </w:r>
      <w:r w:rsidR="00B13E08" w:rsidRPr="00AC12E7">
        <w:rPr>
          <w:sz w:val="20"/>
          <w:szCs w:val="20"/>
        </w:rPr>
        <w:br/>
        <w:t xml:space="preserve">Daarnaast adviseren we deze zwangeren voldoende </w:t>
      </w:r>
      <w:r>
        <w:rPr>
          <w:sz w:val="20"/>
          <w:szCs w:val="20"/>
        </w:rPr>
        <w:t>c</w:t>
      </w:r>
      <w:r w:rsidR="00B13E08" w:rsidRPr="00AC12E7">
        <w:rPr>
          <w:sz w:val="20"/>
          <w:szCs w:val="20"/>
        </w:rPr>
        <w:t>alciumopname middels calciumsuppletie</w:t>
      </w:r>
      <w:r w:rsidR="00E43825">
        <w:rPr>
          <w:sz w:val="20"/>
          <w:szCs w:val="20"/>
        </w:rPr>
        <w:t xml:space="preserve"> </w:t>
      </w:r>
      <w:r w:rsidR="00E43825" w:rsidRPr="00AC12E7">
        <w:rPr>
          <w:sz w:val="20"/>
          <w:szCs w:val="20"/>
        </w:rPr>
        <w:t>1000mg per dag</w:t>
      </w:r>
      <w:r w:rsidR="00B13E08" w:rsidRPr="00AC12E7">
        <w:rPr>
          <w:sz w:val="20"/>
          <w:szCs w:val="20"/>
        </w:rPr>
        <w:t>. Dit resulteert in een significante risicoreductie op ontwikkeling pre</w:t>
      </w:r>
      <w:r w:rsidR="00DB3EFD">
        <w:rPr>
          <w:sz w:val="20"/>
          <w:szCs w:val="20"/>
        </w:rPr>
        <w:t>-</w:t>
      </w:r>
      <w:r w:rsidR="00B13E08" w:rsidRPr="00AC12E7">
        <w:rPr>
          <w:sz w:val="20"/>
          <w:szCs w:val="20"/>
        </w:rPr>
        <w:t>eclampsie.</w:t>
      </w:r>
      <w:r w:rsidR="00415916" w:rsidRPr="00E43825">
        <w:rPr>
          <w:sz w:val="20"/>
          <w:szCs w:val="20"/>
          <w:vertAlign w:val="superscript"/>
        </w:rPr>
        <w:t>2</w:t>
      </w:r>
      <w:r w:rsidR="002B4CE2">
        <w:rPr>
          <w:sz w:val="20"/>
          <w:szCs w:val="20"/>
          <w:vertAlign w:val="superscript"/>
        </w:rPr>
        <w:t>,3</w:t>
      </w:r>
      <w:r w:rsidR="00B13E08" w:rsidRPr="00E43825">
        <w:rPr>
          <w:sz w:val="20"/>
          <w:szCs w:val="20"/>
          <w:vertAlign w:val="superscript"/>
        </w:rPr>
        <w:t xml:space="preserve"> </w:t>
      </w:r>
    </w:p>
    <w:p w14:paraId="6A5FD049" w14:textId="3AE24B03" w:rsidR="007A2CCB" w:rsidRPr="00E43825" w:rsidRDefault="00E26A0B" w:rsidP="007A2CCB">
      <w:pPr>
        <w:rPr>
          <w:rFonts w:ascii="Calibri" w:hAnsi="Calibri"/>
          <w:sz w:val="20"/>
          <w:szCs w:val="20"/>
        </w:rPr>
      </w:pPr>
      <w:r w:rsidRPr="00AC12E7">
        <w:rPr>
          <w:b/>
          <w:sz w:val="20"/>
          <w:szCs w:val="20"/>
        </w:rPr>
        <w:t>Gezamenlijk beleid 1</w:t>
      </w:r>
      <w:r w:rsidRPr="00AC12E7">
        <w:rPr>
          <w:b/>
          <w:sz w:val="20"/>
          <w:szCs w:val="20"/>
          <w:vertAlign w:val="superscript"/>
        </w:rPr>
        <w:t>e</w:t>
      </w:r>
      <w:r w:rsidRPr="00AC12E7">
        <w:rPr>
          <w:b/>
          <w:sz w:val="20"/>
          <w:szCs w:val="20"/>
        </w:rPr>
        <w:t xml:space="preserve"> en 2</w:t>
      </w:r>
      <w:r w:rsidRPr="00AC12E7">
        <w:rPr>
          <w:b/>
          <w:sz w:val="20"/>
          <w:szCs w:val="20"/>
          <w:vertAlign w:val="superscript"/>
        </w:rPr>
        <w:t>e</w:t>
      </w:r>
      <w:r w:rsidRPr="00AC12E7">
        <w:rPr>
          <w:b/>
          <w:sz w:val="20"/>
          <w:szCs w:val="20"/>
        </w:rPr>
        <w:t xml:space="preserve"> lijn</w:t>
      </w:r>
      <w:r w:rsidR="00560330" w:rsidRPr="00AC12E7">
        <w:rPr>
          <w:b/>
          <w:sz w:val="20"/>
          <w:szCs w:val="20"/>
        </w:rPr>
        <w:t xml:space="preserve"> </w:t>
      </w:r>
      <w:r w:rsidR="00C04C58" w:rsidRPr="00AC12E7">
        <w:rPr>
          <w:b/>
          <w:sz w:val="20"/>
          <w:szCs w:val="20"/>
        </w:rPr>
        <w:t>in</w:t>
      </w:r>
      <w:r w:rsidR="00560330" w:rsidRPr="00AC12E7">
        <w:rPr>
          <w:b/>
          <w:sz w:val="20"/>
          <w:szCs w:val="20"/>
        </w:rPr>
        <w:t xml:space="preserve"> </w:t>
      </w:r>
      <w:r w:rsidR="003E4821" w:rsidRPr="00AC12E7">
        <w:rPr>
          <w:b/>
          <w:sz w:val="20"/>
          <w:szCs w:val="20"/>
        </w:rPr>
        <w:t xml:space="preserve">het </w:t>
      </w:r>
      <w:r w:rsidR="00560330" w:rsidRPr="00AC12E7">
        <w:rPr>
          <w:b/>
          <w:sz w:val="20"/>
          <w:szCs w:val="20"/>
        </w:rPr>
        <w:t xml:space="preserve">verzorgingsgebied </w:t>
      </w:r>
      <w:r w:rsidR="00D7646E" w:rsidRPr="00AC12E7">
        <w:rPr>
          <w:b/>
          <w:sz w:val="20"/>
          <w:szCs w:val="20"/>
        </w:rPr>
        <w:t>Den Haag</w:t>
      </w:r>
      <w:r w:rsidR="00577B92" w:rsidRPr="00AC12E7">
        <w:rPr>
          <w:b/>
          <w:sz w:val="20"/>
          <w:szCs w:val="20"/>
        </w:rPr>
        <w:t xml:space="preserve">: </w:t>
      </w:r>
      <w:r w:rsidR="007A2CCB">
        <w:rPr>
          <w:b/>
          <w:sz w:val="20"/>
          <w:szCs w:val="20"/>
        </w:rPr>
        <w:br/>
      </w:r>
      <w:r w:rsidR="00705CD3" w:rsidRPr="00AC12E7">
        <w:rPr>
          <w:sz w:val="20"/>
          <w:szCs w:val="20"/>
        </w:rPr>
        <w:t>Alle z</w:t>
      </w:r>
      <w:r w:rsidR="00B414FF" w:rsidRPr="00AC12E7">
        <w:rPr>
          <w:sz w:val="20"/>
          <w:szCs w:val="20"/>
        </w:rPr>
        <w:t xml:space="preserve">wangeren die </w:t>
      </w:r>
      <w:r w:rsidR="00560330" w:rsidRPr="00AC12E7">
        <w:rPr>
          <w:sz w:val="20"/>
          <w:szCs w:val="20"/>
        </w:rPr>
        <w:t xml:space="preserve">een indicatie voor </w:t>
      </w:r>
      <w:r w:rsidR="00C84D77" w:rsidRPr="00AC12E7">
        <w:rPr>
          <w:sz w:val="20"/>
          <w:szCs w:val="20"/>
        </w:rPr>
        <w:t>acetylsalicylzuur</w:t>
      </w:r>
      <w:r w:rsidR="00560330" w:rsidRPr="00AC12E7">
        <w:rPr>
          <w:sz w:val="20"/>
          <w:szCs w:val="20"/>
        </w:rPr>
        <w:t xml:space="preserve"> hebben</w:t>
      </w:r>
      <w:r w:rsidR="00BD6F16">
        <w:rPr>
          <w:sz w:val="20"/>
          <w:szCs w:val="20"/>
        </w:rPr>
        <w:t>,</w:t>
      </w:r>
      <w:r w:rsidR="00560330" w:rsidRPr="00AC12E7">
        <w:rPr>
          <w:sz w:val="20"/>
          <w:szCs w:val="20"/>
        </w:rPr>
        <w:t xml:space="preserve"> worden </w:t>
      </w:r>
      <w:r w:rsidR="00B414FF" w:rsidRPr="00AC12E7">
        <w:rPr>
          <w:sz w:val="20"/>
          <w:szCs w:val="20"/>
        </w:rPr>
        <w:t xml:space="preserve"> door de 1</w:t>
      </w:r>
      <w:r w:rsidR="00B414FF" w:rsidRPr="00AC12E7">
        <w:rPr>
          <w:sz w:val="20"/>
          <w:szCs w:val="20"/>
          <w:vertAlign w:val="superscript"/>
        </w:rPr>
        <w:t>e</w:t>
      </w:r>
      <w:r w:rsidR="00B414FF" w:rsidRPr="00AC12E7">
        <w:rPr>
          <w:sz w:val="20"/>
          <w:szCs w:val="20"/>
        </w:rPr>
        <w:t xml:space="preserve"> </w:t>
      </w:r>
      <w:proofErr w:type="spellStart"/>
      <w:r w:rsidR="00B414FF" w:rsidRPr="00AC12E7">
        <w:rPr>
          <w:sz w:val="20"/>
          <w:szCs w:val="20"/>
        </w:rPr>
        <w:t>lijns</w:t>
      </w:r>
      <w:proofErr w:type="spellEnd"/>
      <w:r w:rsidR="00B414FF" w:rsidRPr="00AC12E7">
        <w:rPr>
          <w:sz w:val="20"/>
          <w:szCs w:val="20"/>
        </w:rPr>
        <w:t xml:space="preserve"> verloskundige besproken in het multidisciplinaire overleg </w:t>
      </w:r>
      <w:r w:rsidR="001E5061" w:rsidRPr="00AC12E7">
        <w:rPr>
          <w:sz w:val="20"/>
          <w:szCs w:val="20"/>
        </w:rPr>
        <w:t>verloskundige- gynaecoloog</w:t>
      </w:r>
      <w:r w:rsidR="00560330" w:rsidRPr="00AC12E7">
        <w:rPr>
          <w:sz w:val="20"/>
          <w:szCs w:val="20"/>
        </w:rPr>
        <w:t xml:space="preserve"> van </w:t>
      </w:r>
      <w:r w:rsidR="00C84D77" w:rsidRPr="00AC12E7">
        <w:rPr>
          <w:sz w:val="20"/>
          <w:szCs w:val="20"/>
        </w:rPr>
        <w:t xml:space="preserve">het </w:t>
      </w:r>
      <w:r w:rsidR="00D7646E" w:rsidRPr="00AC12E7">
        <w:rPr>
          <w:sz w:val="20"/>
          <w:szCs w:val="20"/>
        </w:rPr>
        <w:t>Haga</w:t>
      </w:r>
      <w:r w:rsidR="007A2CCB">
        <w:rPr>
          <w:sz w:val="20"/>
          <w:szCs w:val="20"/>
        </w:rPr>
        <w:t>Ziekenhuis,</w:t>
      </w:r>
      <w:r w:rsidR="00D7646E" w:rsidRPr="00AC12E7">
        <w:rPr>
          <w:sz w:val="20"/>
          <w:szCs w:val="20"/>
        </w:rPr>
        <w:t xml:space="preserve"> HMC ziekenhuis</w:t>
      </w:r>
      <w:r w:rsidR="007A2CCB">
        <w:rPr>
          <w:sz w:val="20"/>
          <w:szCs w:val="20"/>
        </w:rPr>
        <w:t xml:space="preserve">, </w:t>
      </w:r>
      <w:r w:rsidR="007A2CCB" w:rsidRPr="00E43825">
        <w:rPr>
          <w:rFonts w:ascii="Calibri" w:hAnsi="Calibri"/>
          <w:sz w:val="20"/>
          <w:szCs w:val="20"/>
        </w:rPr>
        <w:t>Reinier de Graaf Ziekenhuis</w:t>
      </w:r>
    </w:p>
    <w:p w14:paraId="007EF5ED" w14:textId="5C54C3A4" w:rsidR="00FC2CD7" w:rsidRPr="00AC12E7" w:rsidRDefault="002A44C3" w:rsidP="00FC2CD7">
      <w:pPr>
        <w:rPr>
          <w:sz w:val="20"/>
          <w:szCs w:val="20"/>
        </w:rPr>
      </w:pPr>
      <w:r w:rsidRPr="00AC12E7">
        <w:rPr>
          <w:sz w:val="20"/>
          <w:szCs w:val="20"/>
        </w:rPr>
        <w:t xml:space="preserve">Een deel van deze zwangeren </w:t>
      </w:r>
      <w:r w:rsidR="00E26A0B" w:rsidRPr="00AC12E7">
        <w:rPr>
          <w:sz w:val="20"/>
          <w:szCs w:val="20"/>
        </w:rPr>
        <w:t xml:space="preserve">wordt na overleg </w:t>
      </w:r>
      <w:r w:rsidRPr="00AC12E7">
        <w:rPr>
          <w:sz w:val="20"/>
          <w:szCs w:val="20"/>
        </w:rPr>
        <w:t>in de eerste lijn</w:t>
      </w:r>
      <w:r w:rsidR="00560330" w:rsidRPr="00AC12E7">
        <w:rPr>
          <w:sz w:val="20"/>
          <w:szCs w:val="20"/>
        </w:rPr>
        <w:t xml:space="preserve"> begeleid tijdens de zwangerschap</w:t>
      </w:r>
      <w:r w:rsidRPr="00AC12E7">
        <w:rPr>
          <w:sz w:val="20"/>
          <w:szCs w:val="20"/>
        </w:rPr>
        <w:t xml:space="preserve">. Wij zullen in die gevallen </w:t>
      </w:r>
      <w:r w:rsidR="00560330" w:rsidRPr="00AC12E7">
        <w:rPr>
          <w:sz w:val="20"/>
          <w:szCs w:val="20"/>
        </w:rPr>
        <w:t xml:space="preserve">u </w:t>
      </w:r>
      <w:r w:rsidR="008D3767" w:rsidRPr="00AC12E7">
        <w:rPr>
          <w:sz w:val="20"/>
          <w:szCs w:val="20"/>
        </w:rPr>
        <w:t xml:space="preserve">vragen </w:t>
      </w:r>
      <w:r w:rsidRPr="00AC12E7">
        <w:rPr>
          <w:sz w:val="20"/>
          <w:szCs w:val="20"/>
        </w:rPr>
        <w:t xml:space="preserve">het recept </w:t>
      </w:r>
      <w:r w:rsidR="00C84D77" w:rsidRPr="00AC12E7">
        <w:rPr>
          <w:sz w:val="20"/>
          <w:szCs w:val="20"/>
        </w:rPr>
        <w:t>acetylsalicylzuur</w:t>
      </w:r>
      <w:r w:rsidRPr="00AC12E7">
        <w:rPr>
          <w:sz w:val="20"/>
          <w:szCs w:val="20"/>
        </w:rPr>
        <w:t xml:space="preserve"> </w:t>
      </w:r>
      <w:r w:rsidR="008D3767" w:rsidRPr="00AC12E7">
        <w:rPr>
          <w:sz w:val="20"/>
          <w:szCs w:val="20"/>
        </w:rPr>
        <w:t xml:space="preserve">80 mg </w:t>
      </w:r>
      <w:r w:rsidR="00C45DB9" w:rsidRPr="00AC12E7">
        <w:rPr>
          <w:sz w:val="20"/>
          <w:szCs w:val="20"/>
        </w:rPr>
        <w:t xml:space="preserve">voor </w:t>
      </w:r>
      <w:r w:rsidR="00E26A0B" w:rsidRPr="00AC12E7">
        <w:rPr>
          <w:sz w:val="20"/>
          <w:szCs w:val="20"/>
        </w:rPr>
        <w:t>te schrijven.</w:t>
      </w:r>
      <w:r w:rsidR="00AC12E7">
        <w:rPr>
          <w:sz w:val="20"/>
          <w:szCs w:val="20"/>
        </w:rPr>
        <w:br/>
      </w:r>
    </w:p>
    <w:p w14:paraId="007EF5EE" w14:textId="77777777" w:rsidR="00FE0F35" w:rsidRPr="00E43825" w:rsidRDefault="00CC1B63" w:rsidP="00564061">
      <w:pPr>
        <w:rPr>
          <w:rFonts w:ascii="Calibri" w:hAnsi="Calibri"/>
          <w:sz w:val="20"/>
          <w:szCs w:val="20"/>
        </w:rPr>
      </w:pPr>
      <w:r w:rsidRPr="00E43825">
        <w:rPr>
          <w:rFonts w:ascii="Calibri" w:hAnsi="Calibri"/>
          <w:sz w:val="20"/>
          <w:szCs w:val="20"/>
        </w:rPr>
        <w:t>N</w:t>
      </w:r>
      <w:r w:rsidR="00220657" w:rsidRPr="00E43825">
        <w:rPr>
          <w:rFonts w:ascii="Calibri" w:hAnsi="Calibri"/>
          <w:sz w:val="20"/>
          <w:szCs w:val="20"/>
        </w:rPr>
        <w:t>amens de</w:t>
      </w:r>
      <w:r w:rsidR="00E26A0B" w:rsidRPr="00E43825">
        <w:rPr>
          <w:rFonts w:ascii="Calibri" w:hAnsi="Calibri"/>
          <w:sz w:val="20"/>
          <w:szCs w:val="20"/>
        </w:rPr>
        <w:t xml:space="preserve"> Commissie Verloskundige Werkafspraken </w:t>
      </w:r>
      <w:r w:rsidR="00C84D77" w:rsidRPr="00E43825">
        <w:rPr>
          <w:rFonts w:ascii="Calibri" w:hAnsi="Calibri"/>
          <w:sz w:val="20"/>
          <w:szCs w:val="20"/>
        </w:rPr>
        <w:t>Den Haag</w:t>
      </w:r>
      <w:r w:rsidR="00FE0F35" w:rsidRPr="00E43825">
        <w:rPr>
          <w:rFonts w:ascii="Calibri" w:hAnsi="Calibri"/>
          <w:sz w:val="20"/>
          <w:szCs w:val="20"/>
        </w:rPr>
        <w:t>,</w:t>
      </w:r>
    </w:p>
    <w:p w14:paraId="007EF5EF" w14:textId="70996695" w:rsidR="00220657" w:rsidRPr="00E43825" w:rsidRDefault="00FE0F35" w:rsidP="00E26A0B">
      <w:pPr>
        <w:rPr>
          <w:rFonts w:ascii="Calibri" w:hAnsi="Calibri"/>
          <w:sz w:val="20"/>
          <w:szCs w:val="20"/>
        </w:rPr>
      </w:pPr>
      <w:r w:rsidRPr="00E43825">
        <w:rPr>
          <w:rFonts w:ascii="Calibri" w:hAnsi="Calibri"/>
          <w:sz w:val="20"/>
          <w:szCs w:val="20"/>
        </w:rPr>
        <w:t>Corla Vredevoogd</w:t>
      </w:r>
      <w:r w:rsidR="00220657" w:rsidRPr="00E43825">
        <w:rPr>
          <w:rFonts w:ascii="Calibri" w:hAnsi="Calibri"/>
          <w:sz w:val="20"/>
          <w:szCs w:val="20"/>
        </w:rPr>
        <w:t xml:space="preserve">, </w:t>
      </w:r>
      <w:r w:rsidR="00AC12E7" w:rsidRPr="00E43825">
        <w:rPr>
          <w:rFonts w:ascii="Calibri" w:hAnsi="Calibri"/>
          <w:sz w:val="20"/>
          <w:szCs w:val="20"/>
        </w:rPr>
        <w:t xml:space="preserve">Fréderique van Dunné, </w:t>
      </w:r>
      <w:r w:rsidR="00220657" w:rsidRPr="00E43825">
        <w:rPr>
          <w:rFonts w:ascii="Calibri" w:hAnsi="Calibri"/>
          <w:sz w:val="20"/>
          <w:szCs w:val="20"/>
        </w:rPr>
        <w:t>gynaecolo</w:t>
      </w:r>
      <w:r w:rsidR="00AC12E7" w:rsidRPr="00E43825">
        <w:rPr>
          <w:rFonts w:ascii="Calibri" w:hAnsi="Calibri"/>
          <w:sz w:val="20"/>
          <w:szCs w:val="20"/>
        </w:rPr>
        <w:t>gen</w:t>
      </w:r>
      <w:r w:rsidR="008D3767" w:rsidRPr="00E43825">
        <w:rPr>
          <w:rFonts w:ascii="Calibri" w:hAnsi="Calibri"/>
          <w:sz w:val="20"/>
          <w:szCs w:val="20"/>
        </w:rPr>
        <w:t xml:space="preserve"> HMC</w:t>
      </w:r>
      <w:r w:rsidR="0081329A" w:rsidRPr="00E43825">
        <w:rPr>
          <w:rFonts w:ascii="Calibri" w:hAnsi="Calibri"/>
          <w:sz w:val="20"/>
          <w:szCs w:val="20"/>
        </w:rPr>
        <w:t xml:space="preserve"> </w:t>
      </w:r>
      <w:r w:rsidR="008A1419" w:rsidRPr="00E43825">
        <w:rPr>
          <w:rFonts w:ascii="Calibri" w:hAnsi="Calibri"/>
          <w:sz w:val="20"/>
          <w:szCs w:val="20"/>
        </w:rPr>
        <w:br/>
      </w:r>
      <w:r w:rsidR="00E26A0B" w:rsidRPr="00E43825">
        <w:rPr>
          <w:rFonts w:ascii="Calibri" w:hAnsi="Calibri"/>
          <w:sz w:val="20"/>
          <w:szCs w:val="20"/>
        </w:rPr>
        <w:t xml:space="preserve">Hanneke Feitsma, </w:t>
      </w:r>
      <w:r w:rsidR="00AC12E7" w:rsidRPr="00E43825">
        <w:rPr>
          <w:rFonts w:ascii="Calibri" w:hAnsi="Calibri"/>
          <w:sz w:val="20"/>
          <w:szCs w:val="20"/>
        </w:rPr>
        <w:t xml:space="preserve">Marit Douma, </w:t>
      </w:r>
      <w:r w:rsidR="00E26A0B" w:rsidRPr="00E43825">
        <w:rPr>
          <w:rFonts w:ascii="Calibri" w:hAnsi="Calibri"/>
          <w:sz w:val="20"/>
          <w:szCs w:val="20"/>
        </w:rPr>
        <w:t>gynaecolo</w:t>
      </w:r>
      <w:r w:rsidR="00AC12E7" w:rsidRPr="00E43825">
        <w:rPr>
          <w:rFonts w:ascii="Calibri" w:hAnsi="Calibri"/>
          <w:sz w:val="20"/>
          <w:szCs w:val="20"/>
        </w:rPr>
        <w:t>gen</w:t>
      </w:r>
      <w:r w:rsidR="00E26A0B" w:rsidRPr="00E43825">
        <w:rPr>
          <w:rFonts w:ascii="Calibri" w:hAnsi="Calibri"/>
          <w:sz w:val="20"/>
          <w:szCs w:val="20"/>
        </w:rPr>
        <w:t xml:space="preserve"> HagaZiekenhuis</w:t>
      </w:r>
      <w:r w:rsidR="00AC12E7" w:rsidRPr="00E43825">
        <w:rPr>
          <w:rFonts w:ascii="Calibri" w:hAnsi="Calibri"/>
          <w:sz w:val="20"/>
          <w:szCs w:val="20"/>
        </w:rPr>
        <w:br/>
        <w:t>Janneke Burgers, gynaecoloog Reinier de Graaf Ziekenhuis</w:t>
      </w:r>
    </w:p>
    <w:p w14:paraId="022750B8" w14:textId="77777777" w:rsidR="00AC12E7" w:rsidRPr="00E43825" w:rsidRDefault="00AC12E7" w:rsidP="00E26A0B">
      <w:pPr>
        <w:rPr>
          <w:rFonts w:ascii="Calibri" w:hAnsi="Calibri"/>
          <w:sz w:val="20"/>
          <w:szCs w:val="20"/>
        </w:rPr>
      </w:pPr>
    </w:p>
    <w:p w14:paraId="007EF5F4" w14:textId="50D08666" w:rsidR="00D41A3C" w:rsidRPr="00E43825" w:rsidRDefault="005558DD" w:rsidP="00D41A3C">
      <w:pPr>
        <w:rPr>
          <w:sz w:val="20"/>
          <w:szCs w:val="20"/>
        </w:rPr>
      </w:pPr>
      <w:r w:rsidRPr="00E43825">
        <w:rPr>
          <w:sz w:val="20"/>
          <w:szCs w:val="20"/>
        </w:rPr>
        <w:t>Literatuur:</w:t>
      </w:r>
    </w:p>
    <w:p w14:paraId="6AC0DB75" w14:textId="5E3B2801" w:rsidR="00BD6F16" w:rsidRPr="00E43825" w:rsidRDefault="00BD6F16" w:rsidP="00E43825">
      <w:pPr>
        <w:pStyle w:val="Lijstalinea"/>
        <w:numPr>
          <w:ilvl w:val="0"/>
          <w:numId w:val="25"/>
        </w:numPr>
        <w:rPr>
          <w:sz w:val="20"/>
          <w:szCs w:val="20"/>
        </w:rPr>
      </w:pPr>
      <w:r w:rsidRPr="00E43825">
        <w:rPr>
          <w:sz w:val="20"/>
          <w:szCs w:val="20"/>
        </w:rPr>
        <w:t>NVOG module ‘</w:t>
      </w:r>
      <w:r w:rsidR="00415916" w:rsidRPr="00E43825">
        <w:rPr>
          <w:sz w:val="20"/>
          <w:szCs w:val="20"/>
        </w:rPr>
        <w:t>Acetylsalicylzuur okt 2019’ behorend bij NVOG richtlijn ‘Hypertensieve aandoeningen in de Zwangerschap’</w:t>
      </w:r>
    </w:p>
    <w:p w14:paraId="1E7A9F5C" w14:textId="7774E8F0" w:rsidR="00415916" w:rsidRDefault="00415916" w:rsidP="00E43825">
      <w:pPr>
        <w:pStyle w:val="Lijstalinea"/>
        <w:numPr>
          <w:ilvl w:val="0"/>
          <w:numId w:val="25"/>
        </w:numPr>
        <w:rPr>
          <w:sz w:val="20"/>
          <w:szCs w:val="20"/>
        </w:rPr>
      </w:pPr>
      <w:r w:rsidRPr="00E43825">
        <w:rPr>
          <w:sz w:val="20"/>
          <w:szCs w:val="20"/>
        </w:rPr>
        <w:t>Modules Hypertensieve aandoeningen in de zwangerschap, 2021</w:t>
      </w:r>
    </w:p>
    <w:p w14:paraId="425CABB3" w14:textId="5FA31A5D" w:rsidR="002B4CE2" w:rsidRPr="002B4CE2" w:rsidRDefault="002B4CE2" w:rsidP="002B4CE2">
      <w:pPr>
        <w:pStyle w:val="Lijstalinea"/>
        <w:numPr>
          <w:ilvl w:val="0"/>
          <w:numId w:val="25"/>
        </w:numPr>
        <w:shd w:val="clear" w:color="auto" w:fill="FFFFFF"/>
        <w:spacing w:before="240" w:after="120" w:line="240" w:lineRule="auto"/>
        <w:ind w:right="385"/>
        <w:outlineLvl w:val="0"/>
        <w:rPr>
          <w:rFonts w:eastAsia="Times New Roman" w:cs="Arial"/>
          <w:bCs/>
          <w:color w:val="000000"/>
          <w:kern w:val="36"/>
          <w:sz w:val="20"/>
          <w:szCs w:val="20"/>
          <w:lang w:val="en" w:eastAsia="nl-NL"/>
        </w:rPr>
      </w:pPr>
      <w:r w:rsidRPr="002B4CE2">
        <w:rPr>
          <w:rFonts w:eastAsia="Times New Roman" w:cs="Arial"/>
          <w:sz w:val="20"/>
          <w:szCs w:val="20"/>
          <w:lang w:val="en" w:eastAsia="nl-NL"/>
        </w:rPr>
        <w:t>Hofmeyr</w:t>
      </w:r>
      <w:r>
        <w:rPr>
          <w:rFonts w:eastAsia="Times New Roman" w:cs="Arial"/>
          <w:sz w:val="20"/>
          <w:szCs w:val="20"/>
          <w:lang w:val="en" w:eastAsia="nl-NL"/>
        </w:rPr>
        <w:t xml:space="preserve">, Lawrie, </w:t>
      </w:r>
      <w:proofErr w:type="spellStart"/>
      <w:r>
        <w:rPr>
          <w:rFonts w:eastAsia="Times New Roman" w:cs="Arial"/>
          <w:sz w:val="20"/>
          <w:szCs w:val="20"/>
          <w:lang w:val="en" w:eastAsia="nl-NL"/>
        </w:rPr>
        <w:t>Atallah</w:t>
      </w:r>
      <w:proofErr w:type="spellEnd"/>
      <w:r w:rsidRPr="002B4CE2">
        <w:rPr>
          <w:rFonts w:eastAsia="Times New Roman" w:cs="Arial"/>
          <w:sz w:val="20"/>
          <w:szCs w:val="20"/>
          <w:lang w:val="en" w:eastAsia="nl-NL"/>
        </w:rPr>
        <w:t>.</w:t>
      </w:r>
      <w:r>
        <w:rPr>
          <w:rFonts w:eastAsia="Times New Roman" w:cs="Arial"/>
          <w:sz w:val="20"/>
          <w:szCs w:val="20"/>
          <w:lang w:val="en" w:eastAsia="nl-NL"/>
        </w:rPr>
        <w:t xml:space="preserve"> </w:t>
      </w:r>
      <w:r w:rsidRPr="009B47E5">
        <w:rPr>
          <w:rFonts w:eastAsia="Times New Roman" w:cs="Arial"/>
          <w:bCs/>
          <w:color w:val="000000"/>
          <w:kern w:val="36"/>
          <w:sz w:val="20"/>
          <w:szCs w:val="20"/>
          <w:lang w:val="en" w:eastAsia="nl-NL"/>
        </w:rPr>
        <w:t>Calcium supplementation during pregnancy for preventing hypertensive disorders and related problems</w:t>
      </w:r>
      <w:r>
        <w:rPr>
          <w:rFonts w:eastAsia="Times New Roman" w:cs="Arial"/>
          <w:bCs/>
          <w:color w:val="000000"/>
          <w:kern w:val="36"/>
          <w:sz w:val="20"/>
          <w:szCs w:val="20"/>
          <w:lang w:val="en" w:eastAsia="nl-NL"/>
        </w:rPr>
        <w:t>.</w:t>
      </w:r>
      <w:r w:rsidRPr="002B4CE2">
        <w:rPr>
          <w:rFonts w:eastAsia="Times New Roman" w:cs="Arial"/>
          <w:sz w:val="20"/>
          <w:szCs w:val="20"/>
          <w:lang w:val="en" w:eastAsia="nl-NL"/>
        </w:rPr>
        <w:t xml:space="preserve"> </w:t>
      </w:r>
      <w:hyperlink r:id="rId8" w:history="1">
        <w:r w:rsidRPr="002B4CE2">
          <w:rPr>
            <w:rFonts w:eastAsia="Times New Roman" w:cs="Arial"/>
            <w:color w:val="2F4A8B"/>
            <w:sz w:val="20"/>
            <w:szCs w:val="20"/>
            <w:u w:val="single"/>
            <w:lang w:val="en" w:eastAsia="nl-NL"/>
          </w:rPr>
          <w:t>Cochrane Database Syst Rev.</w:t>
        </w:r>
      </w:hyperlink>
      <w:r w:rsidRPr="002B4CE2">
        <w:rPr>
          <w:rFonts w:eastAsia="Times New Roman" w:cs="Arial"/>
          <w:sz w:val="20"/>
          <w:szCs w:val="20"/>
          <w:lang w:val="en" w:eastAsia="nl-NL"/>
        </w:rPr>
        <w:t xml:space="preserve"> 2018 Oct; 2018(10)</w:t>
      </w:r>
    </w:p>
    <w:p w14:paraId="5B1943E2" w14:textId="77777777" w:rsidR="002B4CE2" w:rsidRDefault="002B4CE2" w:rsidP="002B4CE2">
      <w:pPr>
        <w:pStyle w:val="Lijstalinea"/>
        <w:rPr>
          <w:sz w:val="20"/>
          <w:szCs w:val="20"/>
        </w:rPr>
      </w:pPr>
    </w:p>
    <w:p w14:paraId="25CDC5F1" w14:textId="77777777" w:rsidR="0054485D" w:rsidRPr="00E43825" w:rsidRDefault="0054485D" w:rsidP="002B4CE2">
      <w:pPr>
        <w:pStyle w:val="Lijstalinea"/>
        <w:rPr>
          <w:sz w:val="20"/>
          <w:szCs w:val="20"/>
        </w:rPr>
      </w:pPr>
    </w:p>
    <w:p w14:paraId="7BBB5046" w14:textId="6911EDBB" w:rsidR="00415916" w:rsidRPr="00E43825" w:rsidRDefault="00415916" w:rsidP="00415916">
      <w:pPr>
        <w:rPr>
          <w:sz w:val="20"/>
          <w:szCs w:val="20"/>
        </w:rPr>
      </w:pPr>
      <w:r w:rsidRPr="00E43825">
        <w:rPr>
          <w:sz w:val="20"/>
          <w:szCs w:val="20"/>
        </w:rPr>
        <w:t>Overige literatuur:</w:t>
      </w:r>
    </w:p>
    <w:p w14:paraId="007EF5F6" w14:textId="77777777" w:rsidR="00FE0F35" w:rsidRPr="00E43825" w:rsidRDefault="00FE0F35" w:rsidP="00FE0F35">
      <w:pPr>
        <w:widowControl w:val="0"/>
        <w:numPr>
          <w:ilvl w:val="0"/>
          <w:numId w:val="23"/>
        </w:numPr>
        <w:tabs>
          <w:tab w:val="left" w:pos="220"/>
          <w:tab w:val="left" w:pos="720"/>
        </w:tabs>
        <w:autoSpaceDE w:val="0"/>
        <w:autoSpaceDN w:val="0"/>
        <w:adjustRightInd w:val="0"/>
        <w:spacing w:after="240" w:line="260" w:lineRule="atLeast"/>
        <w:rPr>
          <w:rFonts w:cs="Arial"/>
          <w:color w:val="000000"/>
          <w:sz w:val="20"/>
          <w:szCs w:val="20"/>
          <w:lang w:val="it-IT"/>
        </w:rPr>
      </w:pPr>
      <w:r w:rsidRPr="00E43825">
        <w:rPr>
          <w:rFonts w:cs="Arial"/>
          <w:color w:val="000000"/>
          <w:sz w:val="20"/>
          <w:szCs w:val="20"/>
          <w:lang w:val="it-IT"/>
        </w:rPr>
        <w:t xml:space="preserve">ACOG guideline Hypertension in pregnancy, 2013 </w:t>
      </w:r>
      <w:r w:rsidRPr="00E43825">
        <w:rPr>
          <w:rFonts w:ascii="MS Gothic" w:eastAsia="MS Gothic" w:hAnsi="MS Gothic" w:cs="MS Gothic"/>
          <w:color w:val="000000"/>
          <w:sz w:val="20"/>
          <w:szCs w:val="20"/>
          <w:lang w:val="it-IT"/>
        </w:rPr>
        <w:t> </w:t>
      </w:r>
    </w:p>
    <w:p w14:paraId="007EF5F7" w14:textId="77777777" w:rsidR="00FE0F35" w:rsidRPr="00E43825" w:rsidRDefault="00FE0F35" w:rsidP="00FE0F35">
      <w:pPr>
        <w:widowControl w:val="0"/>
        <w:numPr>
          <w:ilvl w:val="0"/>
          <w:numId w:val="23"/>
        </w:numPr>
        <w:tabs>
          <w:tab w:val="left" w:pos="220"/>
          <w:tab w:val="left" w:pos="720"/>
        </w:tabs>
        <w:autoSpaceDE w:val="0"/>
        <w:autoSpaceDN w:val="0"/>
        <w:adjustRightInd w:val="0"/>
        <w:spacing w:after="240" w:line="260" w:lineRule="atLeast"/>
        <w:rPr>
          <w:rFonts w:cs="Arial"/>
          <w:color w:val="000000"/>
          <w:sz w:val="20"/>
          <w:szCs w:val="20"/>
          <w:lang w:val="en-US"/>
        </w:rPr>
      </w:pPr>
      <w:r w:rsidRPr="00E43825">
        <w:rPr>
          <w:rFonts w:cs="Arial"/>
          <w:color w:val="000000"/>
          <w:sz w:val="20"/>
          <w:szCs w:val="20"/>
          <w:lang w:val="en-US"/>
        </w:rPr>
        <w:t xml:space="preserve">WHO recommendations for Prevention and treatment of pre-eclampsia and eclampsia, 2011 </w:t>
      </w:r>
      <w:r w:rsidRPr="00E43825">
        <w:rPr>
          <w:rFonts w:ascii="MS Gothic" w:eastAsia="MS Gothic" w:hAnsi="MS Gothic" w:cs="MS Gothic"/>
          <w:color w:val="000000"/>
          <w:sz w:val="20"/>
          <w:szCs w:val="20"/>
          <w:lang w:val="en-US"/>
        </w:rPr>
        <w:t> </w:t>
      </w:r>
    </w:p>
    <w:p w14:paraId="007EF5F8" w14:textId="77777777" w:rsidR="00FE0F35" w:rsidRPr="00E43825" w:rsidRDefault="00FE0F35" w:rsidP="00FE0F35">
      <w:pPr>
        <w:widowControl w:val="0"/>
        <w:numPr>
          <w:ilvl w:val="0"/>
          <w:numId w:val="23"/>
        </w:numPr>
        <w:tabs>
          <w:tab w:val="left" w:pos="220"/>
          <w:tab w:val="left" w:pos="720"/>
        </w:tabs>
        <w:autoSpaceDE w:val="0"/>
        <w:autoSpaceDN w:val="0"/>
        <w:adjustRightInd w:val="0"/>
        <w:spacing w:after="240" w:line="260" w:lineRule="atLeast"/>
        <w:rPr>
          <w:rFonts w:cs="Arial"/>
          <w:color w:val="000000"/>
          <w:sz w:val="20"/>
          <w:szCs w:val="20"/>
          <w:lang w:val="en-US"/>
        </w:rPr>
      </w:pPr>
      <w:r w:rsidRPr="00E43825">
        <w:rPr>
          <w:rFonts w:cs="Arial"/>
          <w:color w:val="000000"/>
          <w:sz w:val="20"/>
          <w:szCs w:val="20"/>
          <w:lang w:val="en-US"/>
        </w:rPr>
        <w:t xml:space="preserve">Xu et al. Low- dose aspirin for preventing preeclampsia and its complications: A meta-analysis; J. of clin hypertension; 2015 (17): 567-573 </w:t>
      </w:r>
      <w:r w:rsidRPr="00E43825">
        <w:rPr>
          <w:rFonts w:ascii="MS Gothic" w:eastAsia="MS Gothic" w:hAnsi="MS Gothic" w:cs="MS Gothic"/>
          <w:color w:val="000000"/>
          <w:sz w:val="20"/>
          <w:szCs w:val="20"/>
          <w:lang w:val="en-US"/>
        </w:rPr>
        <w:t> </w:t>
      </w:r>
    </w:p>
    <w:p w14:paraId="007EF5F9" w14:textId="77777777" w:rsidR="00FE0F35" w:rsidRPr="00E43825" w:rsidRDefault="00FE0F35" w:rsidP="00FE0F35">
      <w:pPr>
        <w:widowControl w:val="0"/>
        <w:numPr>
          <w:ilvl w:val="0"/>
          <w:numId w:val="23"/>
        </w:numPr>
        <w:tabs>
          <w:tab w:val="left" w:pos="220"/>
          <w:tab w:val="left" w:pos="720"/>
        </w:tabs>
        <w:autoSpaceDE w:val="0"/>
        <w:autoSpaceDN w:val="0"/>
        <w:adjustRightInd w:val="0"/>
        <w:spacing w:after="240" w:line="260" w:lineRule="atLeast"/>
        <w:rPr>
          <w:rFonts w:cs="Arial"/>
          <w:color w:val="000000"/>
          <w:sz w:val="20"/>
          <w:szCs w:val="20"/>
          <w:lang w:val="en-US"/>
        </w:rPr>
      </w:pPr>
      <w:r w:rsidRPr="00E43825">
        <w:rPr>
          <w:rFonts w:cs="Arial"/>
          <w:color w:val="000000"/>
          <w:sz w:val="20"/>
          <w:szCs w:val="20"/>
          <w:lang w:val="en-US"/>
        </w:rPr>
        <w:t xml:space="preserve">ASPRE trial 2017; Rolnik et al., Aspirin versus Placebo in Pregnancies at High Risk for Preterm Preeclampsia, NEJM, </w:t>
      </w:r>
      <w:proofErr w:type="spellStart"/>
      <w:r w:rsidRPr="00E43825">
        <w:rPr>
          <w:rFonts w:cs="Arial"/>
          <w:color w:val="000000"/>
          <w:sz w:val="20"/>
          <w:szCs w:val="20"/>
          <w:lang w:val="en-US"/>
        </w:rPr>
        <w:t>augustus</w:t>
      </w:r>
      <w:proofErr w:type="spellEnd"/>
      <w:r w:rsidRPr="00E43825">
        <w:rPr>
          <w:rFonts w:cs="Arial"/>
          <w:color w:val="000000"/>
          <w:sz w:val="20"/>
          <w:szCs w:val="20"/>
          <w:lang w:val="en-US"/>
        </w:rPr>
        <w:t xml:space="preserve"> 2017</w:t>
      </w:r>
    </w:p>
    <w:p w14:paraId="007EF5FA" w14:textId="77777777" w:rsidR="00FE0F35" w:rsidRPr="00E43825" w:rsidRDefault="00FE0F35" w:rsidP="00FE0F35">
      <w:pPr>
        <w:widowControl w:val="0"/>
        <w:numPr>
          <w:ilvl w:val="0"/>
          <w:numId w:val="23"/>
        </w:numPr>
        <w:tabs>
          <w:tab w:val="left" w:pos="220"/>
          <w:tab w:val="left" w:pos="720"/>
        </w:tabs>
        <w:autoSpaceDE w:val="0"/>
        <w:autoSpaceDN w:val="0"/>
        <w:adjustRightInd w:val="0"/>
        <w:spacing w:after="240" w:line="260" w:lineRule="atLeast"/>
        <w:rPr>
          <w:rFonts w:cs="Arial"/>
          <w:color w:val="000000"/>
          <w:sz w:val="20"/>
          <w:szCs w:val="20"/>
          <w:lang w:val="en-US"/>
        </w:rPr>
      </w:pPr>
      <w:r w:rsidRPr="00E43825">
        <w:rPr>
          <w:rFonts w:cs="Arial"/>
          <w:color w:val="000000"/>
          <w:sz w:val="20"/>
          <w:szCs w:val="20"/>
          <w:lang w:val="en-US"/>
        </w:rPr>
        <w:t xml:space="preserve">Roberge et al., The role of aspirin dose on the prevention of preeclampsia and fetal growth restriction: systematic review and meta-analysis, AJOG, </w:t>
      </w:r>
      <w:proofErr w:type="spellStart"/>
      <w:r w:rsidRPr="00E43825">
        <w:rPr>
          <w:rFonts w:cs="Arial"/>
          <w:color w:val="000000"/>
          <w:sz w:val="20"/>
          <w:szCs w:val="20"/>
          <w:lang w:val="en-US"/>
        </w:rPr>
        <w:t>feb</w:t>
      </w:r>
      <w:proofErr w:type="spellEnd"/>
      <w:r w:rsidRPr="00E43825">
        <w:rPr>
          <w:rFonts w:cs="Arial"/>
          <w:color w:val="000000"/>
          <w:sz w:val="20"/>
          <w:szCs w:val="20"/>
          <w:lang w:val="en-US"/>
        </w:rPr>
        <w:t xml:space="preserve"> 2017</w:t>
      </w:r>
    </w:p>
    <w:p w14:paraId="007EF5FB" w14:textId="77777777" w:rsidR="004C5F35" w:rsidRPr="00E43825" w:rsidRDefault="00677653" w:rsidP="005558DD">
      <w:pPr>
        <w:numPr>
          <w:ilvl w:val="0"/>
          <w:numId w:val="23"/>
        </w:numPr>
        <w:rPr>
          <w:sz w:val="20"/>
          <w:szCs w:val="20"/>
        </w:rPr>
      </w:pPr>
      <w:r w:rsidRPr="00E43825">
        <w:rPr>
          <w:sz w:val="20"/>
          <w:szCs w:val="20"/>
        </w:rPr>
        <w:t xml:space="preserve">Knuist M, </w:t>
      </w:r>
      <w:proofErr w:type="spellStart"/>
      <w:r w:rsidRPr="00E43825">
        <w:rPr>
          <w:sz w:val="20"/>
          <w:szCs w:val="20"/>
        </w:rPr>
        <w:t>Bonsel</w:t>
      </w:r>
      <w:proofErr w:type="spellEnd"/>
      <w:r w:rsidRPr="00E43825">
        <w:rPr>
          <w:sz w:val="20"/>
          <w:szCs w:val="20"/>
        </w:rPr>
        <w:t xml:space="preserve"> GJ, Zondervan HA, Treffers PE. </w:t>
      </w:r>
      <w:r w:rsidRPr="00E43825">
        <w:rPr>
          <w:sz w:val="20"/>
          <w:szCs w:val="20"/>
          <w:lang w:val="en-US"/>
        </w:rPr>
        <w:t>Low sodium diet and pregnancy-induced hypertension: a multi-</w:t>
      </w:r>
      <w:proofErr w:type="spellStart"/>
      <w:r w:rsidRPr="00E43825">
        <w:rPr>
          <w:sz w:val="20"/>
          <w:szCs w:val="20"/>
          <w:lang w:val="en-US"/>
        </w:rPr>
        <w:t>centre</w:t>
      </w:r>
      <w:proofErr w:type="spellEnd"/>
      <w:r w:rsidRPr="00E43825">
        <w:rPr>
          <w:sz w:val="20"/>
          <w:szCs w:val="20"/>
          <w:lang w:val="en-US"/>
        </w:rPr>
        <w:t xml:space="preserve"> </w:t>
      </w:r>
      <w:proofErr w:type="spellStart"/>
      <w:r w:rsidRPr="00E43825">
        <w:rPr>
          <w:sz w:val="20"/>
          <w:szCs w:val="20"/>
          <w:lang w:val="en-US"/>
        </w:rPr>
        <w:t>randomised</w:t>
      </w:r>
      <w:proofErr w:type="spellEnd"/>
      <w:r w:rsidRPr="00E43825">
        <w:rPr>
          <w:sz w:val="20"/>
          <w:szCs w:val="20"/>
          <w:lang w:val="en-US"/>
        </w:rPr>
        <w:t xml:space="preserve"> controlled trial. </w:t>
      </w:r>
      <w:r w:rsidRPr="00E43825">
        <w:rPr>
          <w:sz w:val="20"/>
          <w:szCs w:val="20"/>
        </w:rPr>
        <w:t xml:space="preserve">Br J </w:t>
      </w:r>
      <w:proofErr w:type="spellStart"/>
      <w:r w:rsidRPr="00E43825">
        <w:rPr>
          <w:sz w:val="20"/>
          <w:szCs w:val="20"/>
        </w:rPr>
        <w:t>Obstet</w:t>
      </w:r>
      <w:proofErr w:type="spellEnd"/>
      <w:r w:rsidRPr="00E43825">
        <w:rPr>
          <w:sz w:val="20"/>
          <w:szCs w:val="20"/>
        </w:rPr>
        <w:t xml:space="preserve"> </w:t>
      </w:r>
      <w:proofErr w:type="spellStart"/>
      <w:r w:rsidRPr="00E43825">
        <w:rPr>
          <w:sz w:val="20"/>
          <w:szCs w:val="20"/>
        </w:rPr>
        <w:t>Gynaecol</w:t>
      </w:r>
      <w:proofErr w:type="spellEnd"/>
      <w:r w:rsidRPr="00E43825">
        <w:rPr>
          <w:sz w:val="20"/>
          <w:szCs w:val="20"/>
        </w:rPr>
        <w:t xml:space="preserve"> 1998; 105: 430-4.</w:t>
      </w:r>
    </w:p>
    <w:p w14:paraId="007EF5FC" w14:textId="77777777" w:rsidR="004C5F35" w:rsidRPr="00E43825" w:rsidRDefault="00677653" w:rsidP="005558DD">
      <w:pPr>
        <w:numPr>
          <w:ilvl w:val="0"/>
          <w:numId w:val="23"/>
        </w:numPr>
        <w:rPr>
          <w:sz w:val="20"/>
          <w:szCs w:val="20"/>
        </w:rPr>
      </w:pPr>
      <w:proofErr w:type="spellStart"/>
      <w:r w:rsidRPr="00E43825">
        <w:rPr>
          <w:sz w:val="20"/>
          <w:szCs w:val="20"/>
          <w:lang w:val="en-US"/>
        </w:rPr>
        <w:t>Uzan</w:t>
      </w:r>
      <w:proofErr w:type="spellEnd"/>
      <w:r w:rsidRPr="00E43825">
        <w:rPr>
          <w:sz w:val="20"/>
          <w:szCs w:val="20"/>
          <w:lang w:val="en-US"/>
        </w:rPr>
        <w:t xml:space="preserve"> </w:t>
      </w:r>
      <w:proofErr w:type="spellStart"/>
      <w:r w:rsidRPr="00E43825">
        <w:rPr>
          <w:sz w:val="20"/>
          <w:szCs w:val="20"/>
          <w:lang w:val="en-US"/>
        </w:rPr>
        <w:t>D,Carbonnel</w:t>
      </w:r>
      <w:proofErr w:type="spellEnd"/>
      <w:r w:rsidRPr="00E43825">
        <w:rPr>
          <w:sz w:val="20"/>
          <w:szCs w:val="20"/>
          <w:lang w:val="en-US"/>
        </w:rPr>
        <w:t xml:space="preserve"> </w:t>
      </w:r>
      <w:proofErr w:type="spellStart"/>
      <w:r w:rsidRPr="00E43825">
        <w:rPr>
          <w:sz w:val="20"/>
          <w:szCs w:val="20"/>
          <w:lang w:val="en-US"/>
        </w:rPr>
        <w:t>M,Piconne</w:t>
      </w:r>
      <w:proofErr w:type="spellEnd"/>
      <w:r w:rsidRPr="00E43825">
        <w:rPr>
          <w:sz w:val="20"/>
          <w:szCs w:val="20"/>
          <w:lang w:val="en-US"/>
        </w:rPr>
        <w:t xml:space="preserve"> O, et </w:t>
      </w:r>
      <w:proofErr w:type="spellStart"/>
      <w:r w:rsidRPr="00E43825">
        <w:rPr>
          <w:sz w:val="20"/>
          <w:szCs w:val="20"/>
          <w:lang w:val="en-US"/>
        </w:rPr>
        <w:t>al.Pre</w:t>
      </w:r>
      <w:proofErr w:type="spellEnd"/>
      <w:r w:rsidRPr="00E43825">
        <w:rPr>
          <w:sz w:val="20"/>
          <w:szCs w:val="20"/>
          <w:lang w:val="en-US"/>
        </w:rPr>
        <w:t xml:space="preserve">-eclampsia: pathophysiology, diagnosis, and management. </w:t>
      </w:r>
      <w:proofErr w:type="spellStart"/>
      <w:r w:rsidRPr="00E43825">
        <w:rPr>
          <w:sz w:val="20"/>
          <w:szCs w:val="20"/>
          <w:lang w:val="en-US"/>
        </w:rPr>
        <w:t>Vasc</w:t>
      </w:r>
      <w:proofErr w:type="spellEnd"/>
      <w:r w:rsidRPr="00E43825">
        <w:rPr>
          <w:sz w:val="20"/>
          <w:szCs w:val="20"/>
          <w:lang w:val="en-US"/>
        </w:rPr>
        <w:t xml:space="preserve"> Health Risk </w:t>
      </w:r>
      <w:proofErr w:type="spellStart"/>
      <w:r w:rsidRPr="00E43825">
        <w:rPr>
          <w:sz w:val="20"/>
          <w:szCs w:val="20"/>
          <w:lang w:val="en-US"/>
        </w:rPr>
        <w:t>Manag</w:t>
      </w:r>
      <w:proofErr w:type="spellEnd"/>
      <w:r w:rsidRPr="00E43825">
        <w:rPr>
          <w:sz w:val="20"/>
          <w:szCs w:val="20"/>
          <w:lang w:val="en-US"/>
        </w:rPr>
        <w:t xml:space="preserve">. </w:t>
      </w:r>
      <w:r w:rsidRPr="00E43825">
        <w:rPr>
          <w:sz w:val="20"/>
          <w:szCs w:val="20"/>
        </w:rPr>
        <w:t>2011; 7: 467–474.</w:t>
      </w:r>
      <w:r w:rsidRPr="00E43825">
        <w:rPr>
          <w:sz w:val="20"/>
          <w:szCs w:val="20"/>
          <w:lang w:val="en-US"/>
        </w:rPr>
        <w:t xml:space="preserve"> </w:t>
      </w:r>
    </w:p>
    <w:p w14:paraId="007EF5FD" w14:textId="77777777" w:rsidR="004C5F35" w:rsidRPr="00E43825" w:rsidRDefault="00677653" w:rsidP="005558DD">
      <w:pPr>
        <w:numPr>
          <w:ilvl w:val="0"/>
          <w:numId w:val="23"/>
        </w:numPr>
        <w:rPr>
          <w:sz w:val="20"/>
          <w:szCs w:val="20"/>
        </w:rPr>
      </w:pPr>
      <w:r w:rsidRPr="00E43825">
        <w:rPr>
          <w:sz w:val="20"/>
          <w:szCs w:val="20"/>
          <w:lang w:val="en-US"/>
        </w:rPr>
        <w:t>LeFevre ML, et al. Low-Dose Aspirin Use for the Prevention of Morbidity and Mortality From Preeclampsia: U.S. Preventive Services Task Force Recommendation Statement. Ann Intern Med. 2014 Sep 9.</w:t>
      </w:r>
    </w:p>
    <w:p w14:paraId="007EF5FE" w14:textId="6EF9F1B4" w:rsidR="004C5F35" w:rsidRPr="00E43825" w:rsidRDefault="001B7F2A" w:rsidP="005558DD">
      <w:pPr>
        <w:numPr>
          <w:ilvl w:val="0"/>
          <w:numId w:val="23"/>
        </w:numPr>
        <w:rPr>
          <w:sz w:val="20"/>
          <w:szCs w:val="20"/>
        </w:rPr>
      </w:pPr>
      <w:hyperlink r:id="rId9" w:history="1">
        <w:r w:rsidR="00677653" w:rsidRPr="00E43825">
          <w:rPr>
            <w:rStyle w:val="Hyperlink"/>
            <w:color w:val="auto"/>
            <w:sz w:val="20"/>
            <w:szCs w:val="20"/>
            <w:u w:val="none"/>
            <w:lang w:val="en-US"/>
          </w:rPr>
          <w:t>www.nvog.nl</w:t>
        </w:r>
      </w:hyperlink>
      <w:r w:rsidR="00677653" w:rsidRPr="00E43825">
        <w:rPr>
          <w:sz w:val="20"/>
          <w:szCs w:val="20"/>
          <w:lang w:val="en-US"/>
        </w:rPr>
        <w:t>: Topic pre-</w:t>
      </w:r>
      <w:proofErr w:type="spellStart"/>
      <w:r w:rsidR="00677653" w:rsidRPr="00E43825">
        <w:rPr>
          <w:sz w:val="20"/>
          <w:szCs w:val="20"/>
          <w:lang w:val="en-US"/>
        </w:rPr>
        <w:t>eclampsie</w:t>
      </w:r>
      <w:proofErr w:type="spellEnd"/>
      <w:r w:rsidR="00677653" w:rsidRPr="00E43825">
        <w:rPr>
          <w:sz w:val="20"/>
          <w:szCs w:val="20"/>
          <w:lang w:val="en-US"/>
        </w:rPr>
        <w:t xml:space="preserve"> </w:t>
      </w:r>
    </w:p>
    <w:p w14:paraId="05BA858D" w14:textId="0ECD8F28" w:rsidR="00170030" w:rsidRPr="00E43825" w:rsidRDefault="00170030" w:rsidP="005558DD">
      <w:pPr>
        <w:numPr>
          <w:ilvl w:val="0"/>
          <w:numId w:val="23"/>
        </w:numPr>
        <w:rPr>
          <w:sz w:val="20"/>
          <w:szCs w:val="20"/>
        </w:rPr>
      </w:pPr>
      <w:r w:rsidRPr="00E43825">
        <w:rPr>
          <w:sz w:val="20"/>
          <w:szCs w:val="20"/>
        </w:rPr>
        <w:t>NICE-guideline ‘</w:t>
      </w:r>
      <w:proofErr w:type="spellStart"/>
      <w:r w:rsidRPr="00E43825">
        <w:rPr>
          <w:sz w:val="20"/>
          <w:szCs w:val="20"/>
        </w:rPr>
        <w:t>Hypertension</w:t>
      </w:r>
      <w:proofErr w:type="spellEnd"/>
      <w:r w:rsidRPr="00E43825">
        <w:rPr>
          <w:sz w:val="20"/>
          <w:szCs w:val="20"/>
        </w:rPr>
        <w:t xml:space="preserve"> in </w:t>
      </w:r>
      <w:proofErr w:type="spellStart"/>
      <w:r w:rsidRPr="00E43825">
        <w:rPr>
          <w:sz w:val="20"/>
          <w:szCs w:val="20"/>
        </w:rPr>
        <w:t>pregnancy</w:t>
      </w:r>
      <w:proofErr w:type="spellEnd"/>
      <w:r w:rsidRPr="00E43825">
        <w:rPr>
          <w:sz w:val="20"/>
          <w:szCs w:val="20"/>
        </w:rPr>
        <w:t xml:space="preserve">: diagnosis </w:t>
      </w:r>
      <w:proofErr w:type="spellStart"/>
      <w:r w:rsidRPr="00E43825">
        <w:rPr>
          <w:sz w:val="20"/>
          <w:szCs w:val="20"/>
        </w:rPr>
        <w:t>and</w:t>
      </w:r>
      <w:proofErr w:type="spellEnd"/>
      <w:r w:rsidRPr="00E43825">
        <w:rPr>
          <w:sz w:val="20"/>
          <w:szCs w:val="20"/>
        </w:rPr>
        <w:t xml:space="preserve"> management’ (NICE, 2010), de USPSTF richtlijn (</w:t>
      </w:r>
      <w:proofErr w:type="spellStart"/>
      <w:r w:rsidRPr="00E43825">
        <w:rPr>
          <w:sz w:val="20"/>
          <w:szCs w:val="20"/>
        </w:rPr>
        <w:t>LeFevre</w:t>
      </w:r>
      <w:proofErr w:type="spellEnd"/>
      <w:r w:rsidRPr="00E43825">
        <w:rPr>
          <w:sz w:val="20"/>
          <w:szCs w:val="20"/>
        </w:rPr>
        <w:t xml:space="preserve">, 2014) en </w:t>
      </w:r>
      <w:proofErr w:type="spellStart"/>
      <w:r w:rsidRPr="00E43825">
        <w:rPr>
          <w:sz w:val="20"/>
          <w:szCs w:val="20"/>
        </w:rPr>
        <w:t>Bartsch</w:t>
      </w:r>
      <w:proofErr w:type="spellEnd"/>
      <w:r w:rsidRPr="00E43825">
        <w:rPr>
          <w:sz w:val="20"/>
          <w:szCs w:val="20"/>
        </w:rPr>
        <w:t>, 2016.</w:t>
      </w:r>
    </w:p>
    <w:p w14:paraId="5C24F8D3" w14:textId="3937A475" w:rsidR="00255A73" w:rsidRDefault="001B7F2A" w:rsidP="005558DD">
      <w:pPr>
        <w:numPr>
          <w:ilvl w:val="0"/>
          <w:numId w:val="23"/>
        </w:numPr>
        <w:rPr>
          <w:rStyle w:val="Hyperlink"/>
          <w:color w:val="auto"/>
          <w:sz w:val="20"/>
          <w:szCs w:val="20"/>
          <w:u w:val="none"/>
        </w:rPr>
      </w:pPr>
      <w:hyperlink r:id="rId10" w:history="1">
        <w:r w:rsidR="00551E04" w:rsidRPr="00E43825">
          <w:rPr>
            <w:rStyle w:val="Hyperlink"/>
            <w:color w:val="auto"/>
            <w:sz w:val="20"/>
            <w:szCs w:val="20"/>
            <w:u w:val="none"/>
          </w:rPr>
          <w:t>https://www.zwangerinlimburg.nl/sites/expectstudie/files/2pe_0.pdf</w:t>
        </w:r>
      </w:hyperlink>
    </w:p>
    <w:p w14:paraId="67CFFD7F" w14:textId="77777777" w:rsidR="00E43825" w:rsidRDefault="00E43825" w:rsidP="00E43825">
      <w:pPr>
        <w:spacing w:after="280" w:afterAutospacing="1"/>
        <w:rPr>
          <w:rFonts w:eastAsia="Arial"/>
          <w:b/>
          <w:sz w:val="20"/>
          <w:szCs w:val="20"/>
        </w:rPr>
      </w:pPr>
    </w:p>
    <w:p w14:paraId="292E52F5" w14:textId="620EAB56" w:rsidR="00E43825" w:rsidRPr="00E43825" w:rsidRDefault="00E43825" w:rsidP="00E43825">
      <w:pPr>
        <w:spacing w:after="280" w:afterAutospacing="1"/>
        <w:rPr>
          <w:rFonts w:eastAsia="Arial"/>
          <w:sz w:val="20"/>
          <w:szCs w:val="20"/>
        </w:rPr>
      </w:pPr>
      <w:r w:rsidRPr="00E43825">
        <w:rPr>
          <w:rFonts w:eastAsia="Arial"/>
          <w:b/>
          <w:sz w:val="20"/>
          <w:szCs w:val="20"/>
        </w:rPr>
        <w:t>Commissie Verloskundige Werkafspraken Den Haag-Delft, maart 2021 (revisie).</w:t>
      </w:r>
      <w:r w:rsidRPr="00E43825">
        <w:rPr>
          <w:rFonts w:eastAsia="Arial"/>
          <w:b/>
          <w:sz w:val="20"/>
          <w:szCs w:val="20"/>
        </w:rPr>
        <w:br/>
      </w:r>
      <w:r w:rsidRPr="00E43825">
        <w:rPr>
          <w:rFonts w:eastAsia="Arial"/>
          <w:sz w:val="20"/>
          <w:szCs w:val="20"/>
        </w:rPr>
        <w:t>Marga Kortekaas, Merel de Regt, Margreeth Piers, Michelle Beijerinck, Maaike van Rijn, Janneke Burgers, Frédérique van Dunné, Marit Douma, Jiska van Bohemen, Fleur Leinweber, Birgit Castelijn, Fenneke Borsje, Bernadet van Baars</w:t>
      </w:r>
    </w:p>
    <w:p w14:paraId="71314BEE" w14:textId="77777777" w:rsidR="00E43825" w:rsidRPr="00E43825" w:rsidRDefault="00E43825" w:rsidP="00E43825">
      <w:pPr>
        <w:rPr>
          <w:rFonts w:cs="Arial"/>
          <w:sz w:val="20"/>
          <w:szCs w:val="20"/>
        </w:rPr>
      </w:pPr>
      <w:r w:rsidRPr="00E43825">
        <w:rPr>
          <w:sz w:val="20"/>
          <w:szCs w:val="20"/>
        </w:rPr>
        <w:t>1</w:t>
      </w:r>
      <w:r w:rsidRPr="00E43825">
        <w:rPr>
          <w:sz w:val="20"/>
          <w:szCs w:val="20"/>
          <w:vertAlign w:val="superscript"/>
        </w:rPr>
        <w:t>e</w:t>
      </w:r>
      <w:r w:rsidRPr="00E43825">
        <w:rPr>
          <w:sz w:val="20"/>
          <w:szCs w:val="20"/>
        </w:rPr>
        <w:t xml:space="preserve"> versie, november 2018; </w:t>
      </w:r>
      <w:r w:rsidRPr="00E43825">
        <w:rPr>
          <w:rFonts w:cs="Arial"/>
          <w:sz w:val="20"/>
          <w:szCs w:val="20"/>
        </w:rPr>
        <w:t xml:space="preserve">Auteurs: drs. M.M. van den </w:t>
      </w:r>
      <w:proofErr w:type="spellStart"/>
      <w:r w:rsidRPr="00E43825">
        <w:rPr>
          <w:rFonts w:cs="Arial"/>
          <w:sz w:val="20"/>
          <w:szCs w:val="20"/>
        </w:rPr>
        <w:t>Tweel</w:t>
      </w:r>
      <w:proofErr w:type="spellEnd"/>
      <w:r w:rsidRPr="00E43825">
        <w:rPr>
          <w:rFonts w:cs="Arial"/>
          <w:sz w:val="20"/>
          <w:szCs w:val="20"/>
        </w:rPr>
        <w:t xml:space="preserve"> (AIOS Gynaecologie HMC), drs. C.B. Vredevoogd (gynaecoloog HMC)</w:t>
      </w:r>
    </w:p>
    <w:p w14:paraId="3C371BB2" w14:textId="0B3ADBE1" w:rsidR="00E43825" w:rsidRPr="00E43825" w:rsidRDefault="00E43825" w:rsidP="00E43825">
      <w:pPr>
        <w:rPr>
          <w:sz w:val="20"/>
          <w:szCs w:val="20"/>
        </w:rPr>
      </w:pPr>
      <w:r w:rsidRPr="00E43825">
        <w:rPr>
          <w:rFonts w:cs="Arial"/>
          <w:sz w:val="20"/>
          <w:szCs w:val="20"/>
        </w:rPr>
        <w:t>Volgende revisie: 2024</w:t>
      </w:r>
    </w:p>
    <w:p w14:paraId="007EF607" w14:textId="77777777" w:rsidR="008A1419" w:rsidRPr="00255A73" w:rsidRDefault="008A1419"/>
    <w:sectPr w:rsidR="008A1419" w:rsidRPr="00255A73" w:rsidSect="00E23AA1">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EEF25" w14:textId="77777777" w:rsidR="001B7F2A" w:rsidRDefault="001B7F2A" w:rsidP="00C3455D">
      <w:pPr>
        <w:spacing w:after="0" w:line="240" w:lineRule="auto"/>
      </w:pPr>
      <w:r>
        <w:separator/>
      </w:r>
    </w:p>
  </w:endnote>
  <w:endnote w:type="continuationSeparator" w:id="0">
    <w:p w14:paraId="659DB288" w14:textId="77777777" w:rsidR="001B7F2A" w:rsidRDefault="001B7F2A" w:rsidP="00C3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E7051" w14:textId="77777777" w:rsidR="001B7F2A" w:rsidRDefault="001B7F2A" w:rsidP="00C3455D">
      <w:pPr>
        <w:spacing w:after="0" w:line="240" w:lineRule="auto"/>
      </w:pPr>
      <w:r>
        <w:separator/>
      </w:r>
    </w:p>
  </w:footnote>
  <w:footnote w:type="continuationSeparator" w:id="0">
    <w:p w14:paraId="3FEC3BD2" w14:textId="77777777" w:rsidR="001B7F2A" w:rsidRDefault="001B7F2A" w:rsidP="00C34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center" w:tblpY="-162"/>
      <w:tblW w:w="7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2"/>
    </w:tblGrid>
    <w:tr w:rsidR="00577B92" w:rsidRPr="00CA5576" w14:paraId="007EF60F" w14:textId="77777777" w:rsidTr="009C1F93">
      <w:trPr>
        <w:trHeight w:val="166"/>
      </w:trPr>
      <w:tc>
        <w:tcPr>
          <w:tcW w:w="7922" w:type="dxa"/>
        </w:tcPr>
        <w:p w14:paraId="007EF60E" w14:textId="3A065796" w:rsidR="008A1419" w:rsidRPr="00FE0F35" w:rsidRDefault="008A1419" w:rsidP="00BB2372">
          <w:pPr>
            <w:rPr>
              <w:b/>
              <w:bCs/>
              <w:sz w:val="24"/>
              <w:szCs w:val="24"/>
            </w:rPr>
          </w:pPr>
          <w:r>
            <w:rPr>
              <w:b/>
              <w:bCs/>
              <w:sz w:val="24"/>
              <w:szCs w:val="24"/>
            </w:rPr>
            <w:t xml:space="preserve">               </w:t>
          </w:r>
          <w:r w:rsidR="00577B92" w:rsidRPr="00FE0F35">
            <w:rPr>
              <w:b/>
              <w:bCs/>
              <w:sz w:val="24"/>
              <w:szCs w:val="24"/>
            </w:rPr>
            <w:t xml:space="preserve">Verloskundig samenwerkingsverband </w:t>
          </w:r>
          <w:r w:rsidR="009C1F93">
            <w:rPr>
              <w:b/>
              <w:bCs/>
              <w:sz w:val="24"/>
              <w:szCs w:val="24"/>
            </w:rPr>
            <w:t>1</w:t>
          </w:r>
          <w:r w:rsidR="009C1F93" w:rsidRPr="009C1F93">
            <w:rPr>
              <w:b/>
              <w:bCs/>
              <w:sz w:val="24"/>
              <w:szCs w:val="24"/>
              <w:vertAlign w:val="superscript"/>
            </w:rPr>
            <w:t>e</w:t>
          </w:r>
          <w:r w:rsidR="009C1F93">
            <w:rPr>
              <w:b/>
              <w:bCs/>
              <w:sz w:val="24"/>
              <w:szCs w:val="24"/>
            </w:rPr>
            <w:t>-2</w:t>
          </w:r>
          <w:r w:rsidR="009C1F93" w:rsidRPr="009C1F93">
            <w:rPr>
              <w:b/>
              <w:bCs/>
              <w:sz w:val="24"/>
              <w:szCs w:val="24"/>
              <w:vertAlign w:val="superscript"/>
            </w:rPr>
            <w:t>e</w:t>
          </w:r>
          <w:r w:rsidR="009C1F93">
            <w:rPr>
              <w:b/>
              <w:bCs/>
              <w:sz w:val="24"/>
              <w:szCs w:val="24"/>
            </w:rPr>
            <w:t xml:space="preserve"> lijn Den Haag-Delft</w:t>
          </w:r>
          <w:r>
            <w:rPr>
              <w:i/>
              <w:sz w:val="18"/>
              <w:szCs w:val="18"/>
            </w:rPr>
            <w:t xml:space="preserve">                                                                                     </w:t>
          </w:r>
          <w:r w:rsidR="009C1F93">
            <w:rPr>
              <w:i/>
              <w:sz w:val="18"/>
              <w:szCs w:val="18"/>
            </w:rPr>
            <w:br/>
            <w:t xml:space="preserve">                                           in de   </w:t>
          </w:r>
          <w:r w:rsidR="009C1F93" w:rsidRPr="009B20D5">
            <w:rPr>
              <w:i/>
              <w:sz w:val="18"/>
              <w:szCs w:val="18"/>
            </w:rPr>
            <w:t>zwangerschap bij verhoogd risico op pre eclampsie</w:t>
          </w:r>
          <w:r>
            <w:rPr>
              <w:i/>
              <w:sz w:val="18"/>
              <w:szCs w:val="18"/>
            </w:rPr>
            <w:t xml:space="preserve">                                                                                       </w:t>
          </w:r>
        </w:p>
      </w:tc>
    </w:tr>
  </w:tbl>
  <w:p w14:paraId="007EF610" w14:textId="18A32BF8" w:rsidR="00577B92" w:rsidRDefault="00E23AA1">
    <w:pPr>
      <w:pStyle w:val="Koptekst"/>
      <w:rPr>
        <w:i/>
        <w:sz w:val="18"/>
        <w:szCs w:val="18"/>
      </w:rPr>
    </w:pPr>
    <w:r>
      <w:rPr>
        <w:i/>
        <w:noProof/>
        <w:sz w:val="18"/>
        <w:szCs w:val="18"/>
        <w:lang w:eastAsia="nl-NL"/>
      </w:rPr>
      <w:drawing>
        <wp:anchor distT="0" distB="0" distL="114300" distR="114300" simplePos="0" relativeHeight="251655168" behindDoc="1" locked="0" layoutInCell="1" allowOverlap="1" wp14:anchorId="007EF613" wp14:editId="549E3719">
          <wp:simplePos x="0" y="0"/>
          <wp:positionH relativeFrom="margin">
            <wp:posOffset>6364605</wp:posOffset>
          </wp:positionH>
          <wp:positionV relativeFrom="paragraph">
            <wp:posOffset>-367665</wp:posOffset>
          </wp:positionV>
          <wp:extent cx="501650" cy="563245"/>
          <wp:effectExtent l="19050" t="0" r="0" b="0"/>
          <wp:wrapTight wrapText="bothSides">
            <wp:wrapPolygon edited="0">
              <wp:start x="-820" y="0"/>
              <wp:lineTo x="-820" y="21186"/>
              <wp:lineTo x="21327" y="21186"/>
              <wp:lineTo x="21327" y="0"/>
              <wp:lineTo x="-820" y="0"/>
            </wp:wrapPolygon>
          </wp:wrapTight>
          <wp:docPr id="4" name="irc_mi" descr="Afbeeldingsresultaat voor HM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MC">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1650" cy="563245"/>
                  </a:xfrm>
                  <a:prstGeom prst="rect">
                    <a:avLst/>
                  </a:prstGeom>
                  <a:noFill/>
                  <a:ln>
                    <a:noFill/>
                  </a:ln>
                </pic:spPr>
              </pic:pic>
            </a:graphicData>
          </a:graphic>
        </wp:anchor>
      </w:drawing>
    </w:r>
    <w:r>
      <w:rPr>
        <w:i/>
        <w:noProof/>
        <w:sz w:val="18"/>
        <w:szCs w:val="18"/>
        <w:lang w:eastAsia="nl-NL"/>
      </w:rPr>
      <w:drawing>
        <wp:anchor distT="0" distB="0" distL="114300" distR="114300" simplePos="0" relativeHeight="251665408" behindDoc="1" locked="0" layoutInCell="1" allowOverlap="1" wp14:anchorId="007EF615" wp14:editId="0278338D">
          <wp:simplePos x="0" y="0"/>
          <wp:positionH relativeFrom="column">
            <wp:posOffset>-401955</wp:posOffset>
          </wp:positionH>
          <wp:positionV relativeFrom="paragraph">
            <wp:posOffset>-341630</wp:posOffset>
          </wp:positionV>
          <wp:extent cx="1153160" cy="424815"/>
          <wp:effectExtent l="19050" t="0" r="8890" b="0"/>
          <wp:wrapTight wrapText="bothSides">
            <wp:wrapPolygon edited="0">
              <wp:start x="-357" y="0"/>
              <wp:lineTo x="-357" y="20341"/>
              <wp:lineTo x="21767" y="20341"/>
              <wp:lineTo x="21767" y="0"/>
              <wp:lineTo x="-357"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3160" cy="424815"/>
                  </a:xfrm>
                  <a:prstGeom prst="rect">
                    <a:avLst/>
                  </a:prstGeom>
                  <a:noFill/>
                </pic:spPr>
              </pic:pic>
            </a:graphicData>
          </a:graphic>
        </wp:anchor>
      </w:drawing>
    </w:r>
  </w:p>
  <w:p w14:paraId="6F744287" w14:textId="4140089D" w:rsidR="002D30E7" w:rsidRDefault="008A1419" w:rsidP="008A1419">
    <w:pPr>
      <w:pStyle w:val="Koptekst"/>
      <w:rPr>
        <w:i/>
        <w:sz w:val="18"/>
        <w:szCs w:val="18"/>
      </w:rPr>
    </w:pPr>
    <w:r>
      <w:rPr>
        <w:i/>
        <w:sz w:val="18"/>
        <w:szCs w:val="18"/>
      </w:rPr>
      <w:t xml:space="preserve">                  </w:t>
    </w:r>
  </w:p>
  <w:p w14:paraId="76464DBD" w14:textId="77777777" w:rsidR="002D30E7" w:rsidRDefault="002D30E7" w:rsidP="008A1419">
    <w:pPr>
      <w:pStyle w:val="Koptekst"/>
      <w:rPr>
        <w:i/>
        <w:sz w:val="18"/>
        <w:szCs w:val="18"/>
      </w:rPr>
    </w:pPr>
  </w:p>
  <w:p w14:paraId="486A2D42" w14:textId="77777777" w:rsidR="002D30E7" w:rsidRDefault="002D30E7" w:rsidP="008A1419">
    <w:pPr>
      <w:pStyle w:val="Koptekst"/>
      <w:rPr>
        <w:i/>
        <w:sz w:val="18"/>
        <w:szCs w:val="18"/>
      </w:rPr>
    </w:pPr>
  </w:p>
  <w:p w14:paraId="007EF611" w14:textId="4AD54101" w:rsidR="00577B92" w:rsidRDefault="00BB2372" w:rsidP="008A1419">
    <w:pPr>
      <w:pStyle w:val="Koptekst"/>
      <w:rPr>
        <w:i/>
        <w:sz w:val="18"/>
        <w:szCs w:val="18"/>
      </w:rPr>
    </w:pPr>
    <w:r>
      <w:rPr>
        <w:i/>
        <w:sz w:val="18"/>
        <w:szCs w:val="18"/>
      </w:rPr>
      <w:t xml:space="preserve">                              I</w:t>
    </w:r>
    <w:r w:rsidR="00577B92" w:rsidRPr="009B20D5">
      <w:rPr>
        <w:i/>
        <w:sz w:val="18"/>
        <w:szCs w:val="18"/>
      </w:rPr>
      <w:t xml:space="preserve">nformatiebrief </w:t>
    </w:r>
    <w:r w:rsidR="00577B92">
      <w:rPr>
        <w:i/>
        <w:sz w:val="18"/>
        <w:szCs w:val="18"/>
      </w:rPr>
      <w:t xml:space="preserve">voor de huisarts m.b.t.de </w:t>
    </w:r>
    <w:r w:rsidR="00577B92" w:rsidRPr="009B20D5">
      <w:rPr>
        <w:i/>
        <w:sz w:val="18"/>
        <w:szCs w:val="18"/>
      </w:rPr>
      <w:t xml:space="preserve"> werkafspraak Profylactische behandeling met </w:t>
    </w:r>
    <w:r w:rsidR="00C84D77">
      <w:rPr>
        <w:i/>
        <w:sz w:val="18"/>
        <w:szCs w:val="18"/>
      </w:rPr>
      <w:t>acetylsalicylzuur</w:t>
    </w:r>
    <w:r w:rsidR="002D30E7">
      <w:rPr>
        <w:i/>
        <w:sz w:val="18"/>
        <w:szCs w:val="18"/>
      </w:rPr>
      <w:t xml:space="preserve"> 80mg/</w:t>
    </w:r>
    <w:proofErr w:type="spellStart"/>
    <w:r w:rsidR="002D30E7">
      <w:rPr>
        <w:i/>
        <w:sz w:val="18"/>
        <w:szCs w:val="18"/>
      </w:rPr>
      <w:t>dd</w:t>
    </w:r>
    <w:proofErr w:type="spellEnd"/>
    <w:r w:rsidR="00C04C58">
      <w:rPr>
        <w:i/>
        <w:sz w:val="18"/>
        <w:szCs w:val="18"/>
      </w:rPr>
      <w:t xml:space="preserve"> </w:t>
    </w:r>
    <w:r w:rsidR="008A1419">
      <w:rPr>
        <w:i/>
        <w:sz w:val="18"/>
        <w:szCs w:val="18"/>
      </w:rPr>
      <w:t xml:space="preserve">      </w:t>
    </w:r>
    <w:r w:rsidR="00577B92">
      <w:rPr>
        <w:i/>
        <w:sz w:val="18"/>
        <w:szCs w:val="18"/>
      </w:rPr>
      <w:tab/>
    </w:r>
  </w:p>
  <w:p w14:paraId="007EF612" w14:textId="77777777" w:rsidR="00577B92" w:rsidRPr="00C3455D" w:rsidRDefault="00577B92">
    <w:pPr>
      <w:pStyle w:val="Kopteks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6C6C"/>
    <w:multiLevelType w:val="hybridMultilevel"/>
    <w:tmpl w:val="94D2D596"/>
    <w:lvl w:ilvl="0" w:tplc="7CD8D928">
      <w:start w:val="1"/>
      <w:numFmt w:val="bullet"/>
      <w:lvlText w:val=""/>
      <w:lvlJc w:val="left"/>
      <w:pPr>
        <w:tabs>
          <w:tab w:val="num" w:pos="720"/>
        </w:tabs>
        <w:ind w:left="720" w:hanging="360"/>
      </w:pPr>
      <w:rPr>
        <w:rFonts w:ascii="Wingdings 2" w:hAnsi="Wingdings 2" w:hint="default"/>
      </w:rPr>
    </w:lvl>
    <w:lvl w:ilvl="1" w:tplc="567C2F80" w:tentative="1">
      <w:start w:val="1"/>
      <w:numFmt w:val="bullet"/>
      <w:lvlText w:val=""/>
      <w:lvlJc w:val="left"/>
      <w:pPr>
        <w:tabs>
          <w:tab w:val="num" w:pos="1440"/>
        </w:tabs>
        <w:ind w:left="1440" w:hanging="360"/>
      </w:pPr>
      <w:rPr>
        <w:rFonts w:ascii="Wingdings 2" w:hAnsi="Wingdings 2" w:hint="default"/>
      </w:rPr>
    </w:lvl>
    <w:lvl w:ilvl="2" w:tplc="B1E2A588" w:tentative="1">
      <w:start w:val="1"/>
      <w:numFmt w:val="bullet"/>
      <w:lvlText w:val=""/>
      <w:lvlJc w:val="left"/>
      <w:pPr>
        <w:tabs>
          <w:tab w:val="num" w:pos="2160"/>
        </w:tabs>
        <w:ind w:left="2160" w:hanging="360"/>
      </w:pPr>
      <w:rPr>
        <w:rFonts w:ascii="Wingdings 2" w:hAnsi="Wingdings 2" w:hint="default"/>
      </w:rPr>
    </w:lvl>
    <w:lvl w:ilvl="3" w:tplc="EA5EA320" w:tentative="1">
      <w:start w:val="1"/>
      <w:numFmt w:val="bullet"/>
      <w:lvlText w:val=""/>
      <w:lvlJc w:val="left"/>
      <w:pPr>
        <w:tabs>
          <w:tab w:val="num" w:pos="2880"/>
        </w:tabs>
        <w:ind w:left="2880" w:hanging="360"/>
      </w:pPr>
      <w:rPr>
        <w:rFonts w:ascii="Wingdings 2" w:hAnsi="Wingdings 2" w:hint="default"/>
      </w:rPr>
    </w:lvl>
    <w:lvl w:ilvl="4" w:tplc="731ECF58" w:tentative="1">
      <w:start w:val="1"/>
      <w:numFmt w:val="bullet"/>
      <w:lvlText w:val=""/>
      <w:lvlJc w:val="left"/>
      <w:pPr>
        <w:tabs>
          <w:tab w:val="num" w:pos="3600"/>
        </w:tabs>
        <w:ind w:left="3600" w:hanging="360"/>
      </w:pPr>
      <w:rPr>
        <w:rFonts w:ascii="Wingdings 2" w:hAnsi="Wingdings 2" w:hint="default"/>
      </w:rPr>
    </w:lvl>
    <w:lvl w:ilvl="5" w:tplc="F1341AEE" w:tentative="1">
      <w:start w:val="1"/>
      <w:numFmt w:val="bullet"/>
      <w:lvlText w:val=""/>
      <w:lvlJc w:val="left"/>
      <w:pPr>
        <w:tabs>
          <w:tab w:val="num" w:pos="4320"/>
        </w:tabs>
        <w:ind w:left="4320" w:hanging="360"/>
      </w:pPr>
      <w:rPr>
        <w:rFonts w:ascii="Wingdings 2" w:hAnsi="Wingdings 2" w:hint="default"/>
      </w:rPr>
    </w:lvl>
    <w:lvl w:ilvl="6" w:tplc="8B444636" w:tentative="1">
      <w:start w:val="1"/>
      <w:numFmt w:val="bullet"/>
      <w:lvlText w:val=""/>
      <w:lvlJc w:val="left"/>
      <w:pPr>
        <w:tabs>
          <w:tab w:val="num" w:pos="5040"/>
        </w:tabs>
        <w:ind w:left="5040" w:hanging="360"/>
      </w:pPr>
      <w:rPr>
        <w:rFonts w:ascii="Wingdings 2" w:hAnsi="Wingdings 2" w:hint="default"/>
      </w:rPr>
    </w:lvl>
    <w:lvl w:ilvl="7" w:tplc="157C8D9E" w:tentative="1">
      <w:start w:val="1"/>
      <w:numFmt w:val="bullet"/>
      <w:lvlText w:val=""/>
      <w:lvlJc w:val="left"/>
      <w:pPr>
        <w:tabs>
          <w:tab w:val="num" w:pos="5760"/>
        </w:tabs>
        <w:ind w:left="5760" w:hanging="360"/>
      </w:pPr>
      <w:rPr>
        <w:rFonts w:ascii="Wingdings 2" w:hAnsi="Wingdings 2" w:hint="default"/>
      </w:rPr>
    </w:lvl>
    <w:lvl w:ilvl="8" w:tplc="635C54D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02A3E44"/>
    <w:multiLevelType w:val="hybridMultilevel"/>
    <w:tmpl w:val="9B64B524"/>
    <w:lvl w:ilvl="0" w:tplc="3EDE50D0">
      <w:start w:val="1"/>
      <w:numFmt w:val="decimal"/>
      <w:lvlText w:val="%1-"/>
      <w:lvlJc w:val="left"/>
      <w:pPr>
        <w:ind w:left="71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2" w15:restartNumberingAfterBreak="0">
    <w:nsid w:val="217D7675"/>
    <w:multiLevelType w:val="hybridMultilevel"/>
    <w:tmpl w:val="64046F02"/>
    <w:lvl w:ilvl="0" w:tplc="B24820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A20DAD"/>
    <w:multiLevelType w:val="hybridMultilevel"/>
    <w:tmpl w:val="9EAEE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B75C82"/>
    <w:multiLevelType w:val="hybridMultilevel"/>
    <w:tmpl w:val="3DB6E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D07FCC"/>
    <w:multiLevelType w:val="hybridMultilevel"/>
    <w:tmpl w:val="2BB4F6D6"/>
    <w:lvl w:ilvl="0" w:tplc="08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36D72630"/>
    <w:multiLevelType w:val="hybridMultilevel"/>
    <w:tmpl w:val="8E221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0F6796"/>
    <w:multiLevelType w:val="hybridMultilevel"/>
    <w:tmpl w:val="6D304C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D21FAE"/>
    <w:multiLevelType w:val="hybridMultilevel"/>
    <w:tmpl w:val="089E1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454ECE"/>
    <w:multiLevelType w:val="hybridMultilevel"/>
    <w:tmpl w:val="FCA6051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A08112E"/>
    <w:multiLevelType w:val="hybridMultilevel"/>
    <w:tmpl w:val="2B0E2C4A"/>
    <w:lvl w:ilvl="0" w:tplc="E94EE3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531C54"/>
    <w:multiLevelType w:val="hybridMultilevel"/>
    <w:tmpl w:val="CF94E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995DA2"/>
    <w:multiLevelType w:val="hybridMultilevel"/>
    <w:tmpl w:val="9FC4C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1C2600"/>
    <w:multiLevelType w:val="hybridMultilevel"/>
    <w:tmpl w:val="057CA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3D0FC8"/>
    <w:multiLevelType w:val="hybridMultilevel"/>
    <w:tmpl w:val="59E4FC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EA02FD"/>
    <w:multiLevelType w:val="hybridMultilevel"/>
    <w:tmpl w:val="F5E86EE0"/>
    <w:lvl w:ilvl="0" w:tplc="89CE403E">
      <w:start w:val="1"/>
      <w:numFmt w:val="decimal"/>
      <w:lvlText w:val="%1-"/>
      <w:lvlJc w:val="left"/>
      <w:pPr>
        <w:ind w:left="760" w:hanging="360"/>
      </w:pPr>
      <w:rPr>
        <w:rFonts w:hint="default"/>
      </w:rPr>
    </w:lvl>
    <w:lvl w:ilvl="1" w:tplc="04130019" w:tentative="1">
      <w:start w:val="1"/>
      <w:numFmt w:val="lowerLetter"/>
      <w:lvlText w:val="%2."/>
      <w:lvlJc w:val="left"/>
      <w:pPr>
        <w:ind w:left="1480" w:hanging="360"/>
      </w:pPr>
    </w:lvl>
    <w:lvl w:ilvl="2" w:tplc="0413001B" w:tentative="1">
      <w:start w:val="1"/>
      <w:numFmt w:val="lowerRoman"/>
      <w:lvlText w:val="%3."/>
      <w:lvlJc w:val="right"/>
      <w:pPr>
        <w:ind w:left="2200" w:hanging="180"/>
      </w:pPr>
    </w:lvl>
    <w:lvl w:ilvl="3" w:tplc="0413000F" w:tentative="1">
      <w:start w:val="1"/>
      <w:numFmt w:val="decimal"/>
      <w:lvlText w:val="%4."/>
      <w:lvlJc w:val="left"/>
      <w:pPr>
        <w:ind w:left="2920" w:hanging="360"/>
      </w:pPr>
    </w:lvl>
    <w:lvl w:ilvl="4" w:tplc="04130019" w:tentative="1">
      <w:start w:val="1"/>
      <w:numFmt w:val="lowerLetter"/>
      <w:lvlText w:val="%5."/>
      <w:lvlJc w:val="left"/>
      <w:pPr>
        <w:ind w:left="3640" w:hanging="360"/>
      </w:pPr>
    </w:lvl>
    <w:lvl w:ilvl="5" w:tplc="0413001B" w:tentative="1">
      <w:start w:val="1"/>
      <w:numFmt w:val="lowerRoman"/>
      <w:lvlText w:val="%6."/>
      <w:lvlJc w:val="right"/>
      <w:pPr>
        <w:ind w:left="4360" w:hanging="180"/>
      </w:pPr>
    </w:lvl>
    <w:lvl w:ilvl="6" w:tplc="0413000F" w:tentative="1">
      <w:start w:val="1"/>
      <w:numFmt w:val="decimal"/>
      <w:lvlText w:val="%7."/>
      <w:lvlJc w:val="left"/>
      <w:pPr>
        <w:ind w:left="5080" w:hanging="360"/>
      </w:pPr>
    </w:lvl>
    <w:lvl w:ilvl="7" w:tplc="04130019" w:tentative="1">
      <w:start w:val="1"/>
      <w:numFmt w:val="lowerLetter"/>
      <w:lvlText w:val="%8."/>
      <w:lvlJc w:val="left"/>
      <w:pPr>
        <w:ind w:left="5800" w:hanging="360"/>
      </w:pPr>
    </w:lvl>
    <w:lvl w:ilvl="8" w:tplc="0413001B" w:tentative="1">
      <w:start w:val="1"/>
      <w:numFmt w:val="lowerRoman"/>
      <w:lvlText w:val="%9."/>
      <w:lvlJc w:val="right"/>
      <w:pPr>
        <w:ind w:left="6520" w:hanging="180"/>
      </w:pPr>
    </w:lvl>
  </w:abstractNum>
  <w:abstractNum w:abstractNumId="16" w15:restartNumberingAfterBreak="0">
    <w:nsid w:val="4FEC455B"/>
    <w:multiLevelType w:val="hybridMultilevel"/>
    <w:tmpl w:val="D6DC7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FC7B95"/>
    <w:multiLevelType w:val="hybridMultilevel"/>
    <w:tmpl w:val="977021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39A1261"/>
    <w:multiLevelType w:val="hybridMultilevel"/>
    <w:tmpl w:val="BB6A8BC2"/>
    <w:lvl w:ilvl="0" w:tplc="BE38FB2E">
      <w:start w:val="1"/>
      <w:numFmt w:val="decimal"/>
      <w:lvlText w:val="%1-"/>
      <w:lvlJc w:val="left"/>
      <w:pPr>
        <w:ind w:left="71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19" w15:restartNumberingAfterBreak="0">
    <w:nsid w:val="53DC7910"/>
    <w:multiLevelType w:val="hybridMultilevel"/>
    <w:tmpl w:val="3D56A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A55E58"/>
    <w:multiLevelType w:val="hybridMultilevel"/>
    <w:tmpl w:val="4942E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C943B1F"/>
    <w:multiLevelType w:val="hybridMultilevel"/>
    <w:tmpl w:val="A05C908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C34B8B"/>
    <w:multiLevelType w:val="hybridMultilevel"/>
    <w:tmpl w:val="8CF40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950257"/>
    <w:multiLevelType w:val="hybridMultilevel"/>
    <w:tmpl w:val="F224D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D2830E4"/>
    <w:multiLevelType w:val="hybridMultilevel"/>
    <w:tmpl w:val="1B32C12E"/>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8"/>
  </w:num>
  <w:num w:numId="4">
    <w:abstractNumId w:val="15"/>
  </w:num>
  <w:num w:numId="5">
    <w:abstractNumId w:val="2"/>
  </w:num>
  <w:num w:numId="6">
    <w:abstractNumId w:val="6"/>
  </w:num>
  <w:num w:numId="7">
    <w:abstractNumId w:val="13"/>
  </w:num>
  <w:num w:numId="8">
    <w:abstractNumId w:val="21"/>
  </w:num>
  <w:num w:numId="9">
    <w:abstractNumId w:val="7"/>
  </w:num>
  <w:num w:numId="10">
    <w:abstractNumId w:val="19"/>
  </w:num>
  <w:num w:numId="11">
    <w:abstractNumId w:val="23"/>
  </w:num>
  <w:num w:numId="12">
    <w:abstractNumId w:val="8"/>
  </w:num>
  <w:num w:numId="13">
    <w:abstractNumId w:val="17"/>
  </w:num>
  <w:num w:numId="14">
    <w:abstractNumId w:val="16"/>
  </w:num>
  <w:num w:numId="15">
    <w:abstractNumId w:val="4"/>
  </w:num>
  <w:num w:numId="16">
    <w:abstractNumId w:val="20"/>
  </w:num>
  <w:num w:numId="17">
    <w:abstractNumId w:val="22"/>
  </w:num>
  <w:num w:numId="18">
    <w:abstractNumId w:val="12"/>
  </w:num>
  <w:num w:numId="19">
    <w:abstractNumId w:val="11"/>
  </w:num>
  <w:num w:numId="20">
    <w:abstractNumId w:val="9"/>
  </w:num>
  <w:num w:numId="21">
    <w:abstractNumId w:val="3"/>
  </w:num>
  <w:num w:numId="22">
    <w:abstractNumId w:val="24"/>
  </w:num>
  <w:num w:numId="23">
    <w:abstractNumId w:val="0"/>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848"/>
    <w:rsid w:val="00034C0C"/>
    <w:rsid w:val="00077D27"/>
    <w:rsid w:val="000922C1"/>
    <w:rsid w:val="000B1CCB"/>
    <w:rsid w:val="000B45E1"/>
    <w:rsid w:val="00170030"/>
    <w:rsid w:val="001804FA"/>
    <w:rsid w:val="00190A9A"/>
    <w:rsid w:val="0019322C"/>
    <w:rsid w:val="001B7F2A"/>
    <w:rsid w:val="001C2466"/>
    <w:rsid w:val="001E5061"/>
    <w:rsid w:val="001F7BEE"/>
    <w:rsid w:val="00220657"/>
    <w:rsid w:val="00225ABD"/>
    <w:rsid w:val="00247EC5"/>
    <w:rsid w:val="00255A73"/>
    <w:rsid w:val="002726B6"/>
    <w:rsid w:val="002A44C3"/>
    <w:rsid w:val="002A7D1D"/>
    <w:rsid w:val="002B4CE2"/>
    <w:rsid w:val="002C71AD"/>
    <w:rsid w:val="002D0DF1"/>
    <w:rsid w:val="002D30E7"/>
    <w:rsid w:val="002F0210"/>
    <w:rsid w:val="002F7525"/>
    <w:rsid w:val="00303007"/>
    <w:rsid w:val="00312901"/>
    <w:rsid w:val="00360A97"/>
    <w:rsid w:val="0037670F"/>
    <w:rsid w:val="003D3178"/>
    <w:rsid w:val="003E4821"/>
    <w:rsid w:val="00403239"/>
    <w:rsid w:val="00410B3C"/>
    <w:rsid w:val="00415916"/>
    <w:rsid w:val="0043289F"/>
    <w:rsid w:val="00445CE1"/>
    <w:rsid w:val="004561B8"/>
    <w:rsid w:val="004C5F35"/>
    <w:rsid w:val="004F013D"/>
    <w:rsid w:val="00505E8A"/>
    <w:rsid w:val="0054485D"/>
    <w:rsid w:val="00551E04"/>
    <w:rsid w:val="005558DD"/>
    <w:rsid w:val="00560330"/>
    <w:rsid w:val="00564061"/>
    <w:rsid w:val="00577B92"/>
    <w:rsid w:val="005E11B2"/>
    <w:rsid w:val="00601A00"/>
    <w:rsid w:val="006211F9"/>
    <w:rsid w:val="00630763"/>
    <w:rsid w:val="00641076"/>
    <w:rsid w:val="006540E3"/>
    <w:rsid w:val="00677653"/>
    <w:rsid w:val="00682782"/>
    <w:rsid w:val="00683C1B"/>
    <w:rsid w:val="006A22DD"/>
    <w:rsid w:val="006A371D"/>
    <w:rsid w:val="00700FEE"/>
    <w:rsid w:val="007027E2"/>
    <w:rsid w:val="00705CD3"/>
    <w:rsid w:val="00706936"/>
    <w:rsid w:val="00714633"/>
    <w:rsid w:val="00737F13"/>
    <w:rsid w:val="00742F05"/>
    <w:rsid w:val="00797CF4"/>
    <w:rsid w:val="007A1195"/>
    <w:rsid w:val="007A2CCB"/>
    <w:rsid w:val="0081329A"/>
    <w:rsid w:val="008346A8"/>
    <w:rsid w:val="00883F26"/>
    <w:rsid w:val="008A0617"/>
    <w:rsid w:val="008A1419"/>
    <w:rsid w:val="008B15BA"/>
    <w:rsid w:val="008C028C"/>
    <w:rsid w:val="008D1496"/>
    <w:rsid w:val="008D3767"/>
    <w:rsid w:val="008E2AEB"/>
    <w:rsid w:val="00936FEB"/>
    <w:rsid w:val="009771AC"/>
    <w:rsid w:val="00984639"/>
    <w:rsid w:val="009A09B6"/>
    <w:rsid w:val="009B20D5"/>
    <w:rsid w:val="009C06FA"/>
    <w:rsid w:val="009C1F93"/>
    <w:rsid w:val="009E7560"/>
    <w:rsid w:val="00A14A0C"/>
    <w:rsid w:val="00A22505"/>
    <w:rsid w:val="00A27309"/>
    <w:rsid w:val="00A3125A"/>
    <w:rsid w:val="00A41A29"/>
    <w:rsid w:val="00A6767D"/>
    <w:rsid w:val="00A91B65"/>
    <w:rsid w:val="00AA0627"/>
    <w:rsid w:val="00AA40D4"/>
    <w:rsid w:val="00AA6B40"/>
    <w:rsid w:val="00AC0FF1"/>
    <w:rsid w:val="00AC12E7"/>
    <w:rsid w:val="00B07FC9"/>
    <w:rsid w:val="00B13E08"/>
    <w:rsid w:val="00B205F3"/>
    <w:rsid w:val="00B32BF1"/>
    <w:rsid w:val="00B414FF"/>
    <w:rsid w:val="00BA2133"/>
    <w:rsid w:val="00BB2372"/>
    <w:rsid w:val="00BD1296"/>
    <w:rsid w:val="00BD6F16"/>
    <w:rsid w:val="00C04C58"/>
    <w:rsid w:val="00C3455D"/>
    <w:rsid w:val="00C45DB9"/>
    <w:rsid w:val="00C720D9"/>
    <w:rsid w:val="00C84D77"/>
    <w:rsid w:val="00CB1182"/>
    <w:rsid w:val="00CC1B63"/>
    <w:rsid w:val="00CE4E9B"/>
    <w:rsid w:val="00CE629D"/>
    <w:rsid w:val="00D14F73"/>
    <w:rsid w:val="00D41A3C"/>
    <w:rsid w:val="00D45BBC"/>
    <w:rsid w:val="00D71935"/>
    <w:rsid w:val="00D75843"/>
    <w:rsid w:val="00D7646E"/>
    <w:rsid w:val="00D81222"/>
    <w:rsid w:val="00D90DA4"/>
    <w:rsid w:val="00DA6407"/>
    <w:rsid w:val="00DB3EFD"/>
    <w:rsid w:val="00DC6E59"/>
    <w:rsid w:val="00DD1197"/>
    <w:rsid w:val="00DD2F59"/>
    <w:rsid w:val="00DE1043"/>
    <w:rsid w:val="00DE1A2D"/>
    <w:rsid w:val="00E014EC"/>
    <w:rsid w:val="00E0725C"/>
    <w:rsid w:val="00E23AA1"/>
    <w:rsid w:val="00E26A0B"/>
    <w:rsid w:val="00E26ABC"/>
    <w:rsid w:val="00E31010"/>
    <w:rsid w:val="00E43825"/>
    <w:rsid w:val="00E627C5"/>
    <w:rsid w:val="00EB2524"/>
    <w:rsid w:val="00ED3FB7"/>
    <w:rsid w:val="00ED556F"/>
    <w:rsid w:val="00EE5C25"/>
    <w:rsid w:val="00EE7374"/>
    <w:rsid w:val="00EF482F"/>
    <w:rsid w:val="00EF70FE"/>
    <w:rsid w:val="00F0298E"/>
    <w:rsid w:val="00F239D6"/>
    <w:rsid w:val="00F76D5C"/>
    <w:rsid w:val="00F9224A"/>
    <w:rsid w:val="00F97848"/>
    <w:rsid w:val="00FA0944"/>
    <w:rsid w:val="00FC2CD7"/>
    <w:rsid w:val="00FC7072"/>
    <w:rsid w:val="00FE0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F5DA"/>
  <w15:docId w15:val="{38825798-4E96-4CA1-9D0D-23B9A648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61B8"/>
  </w:style>
  <w:style w:type="paragraph" w:styleId="Kop1">
    <w:name w:val="heading 1"/>
    <w:basedOn w:val="Standaard"/>
    <w:link w:val="Kop1Char"/>
    <w:uiPriority w:val="9"/>
    <w:qFormat/>
    <w:rsid w:val="002B4CE2"/>
    <w:pPr>
      <w:spacing w:before="240" w:after="120" w:line="240" w:lineRule="auto"/>
      <w:outlineLvl w:val="0"/>
    </w:pPr>
    <w:rPr>
      <w:rFonts w:ascii="Times New Roman" w:eastAsia="Times New Roman" w:hAnsi="Times New Roman" w:cs="Times New Roman"/>
      <w:b/>
      <w:bCs/>
      <w:color w:val="000000"/>
      <w:kern w:val="36"/>
      <w:sz w:val="33"/>
      <w:szCs w:val="33"/>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1A3C"/>
    <w:pPr>
      <w:ind w:left="720"/>
      <w:contextualSpacing/>
    </w:pPr>
  </w:style>
  <w:style w:type="character" w:styleId="Verwijzingopmerking">
    <w:name w:val="annotation reference"/>
    <w:basedOn w:val="Standaardalinea-lettertype"/>
    <w:uiPriority w:val="99"/>
    <w:semiHidden/>
    <w:unhideWhenUsed/>
    <w:rsid w:val="008C028C"/>
    <w:rPr>
      <w:sz w:val="16"/>
      <w:szCs w:val="16"/>
    </w:rPr>
  </w:style>
  <w:style w:type="paragraph" w:styleId="Tekstopmerking">
    <w:name w:val="annotation text"/>
    <w:basedOn w:val="Standaard"/>
    <w:link w:val="TekstopmerkingChar"/>
    <w:uiPriority w:val="99"/>
    <w:semiHidden/>
    <w:unhideWhenUsed/>
    <w:rsid w:val="008C02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028C"/>
    <w:rPr>
      <w:sz w:val="20"/>
      <w:szCs w:val="20"/>
    </w:rPr>
  </w:style>
  <w:style w:type="paragraph" w:styleId="Onderwerpvanopmerking">
    <w:name w:val="annotation subject"/>
    <w:basedOn w:val="Tekstopmerking"/>
    <w:next w:val="Tekstopmerking"/>
    <w:link w:val="OnderwerpvanopmerkingChar"/>
    <w:uiPriority w:val="99"/>
    <w:semiHidden/>
    <w:unhideWhenUsed/>
    <w:rsid w:val="008C028C"/>
    <w:rPr>
      <w:b/>
      <w:bCs/>
    </w:rPr>
  </w:style>
  <w:style w:type="character" w:customStyle="1" w:styleId="OnderwerpvanopmerkingChar">
    <w:name w:val="Onderwerp van opmerking Char"/>
    <w:basedOn w:val="TekstopmerkingChar"/>
    <w:link w:val="Onderwerpvanopmerking"/>
    <w:uiPriority w:val="99"/>
    <w:semiHidden/>
    <w:rsid w:val="008C028C"/>
    <w:rPr>
      <w:b/>
      <w:bCs/>
      <w:sz w:val="20"/>
      <w:szCs w:val="20"/>
    </w:rPr>
  </w:style>
  <w:style w:type="paragraph" w:styleId="Ballontekst">
    <w:name w:val="Balloon Text"/>
    <w:basedOn w:val="Standaard"/>
    <w:link w:val="BallontekstChar"/>
    <w:uiPriority w:val="99"/>
    <w:semiHidden/>
    <w:unhideWhenUsed/>
    <w:rsid w:val="008C02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28C"/>
    <w:rPr>
      <w:rFonts w:ascii="Tahoma" w:hAnsi="Tahoma" w:cs="Tahoma"/>
      <w:sz w:val="16"/>
      <w:szCs w:val="16"/>
    </w:rPr>
  </w:style>
  <w:style w:type="paragraph" w:styleId="Koptekst">
    <w:name w:val="header"/>
    <w:basedOn w:val="Standaard"/>
    <w:link w:val="KoptekstChar"/>
    <w:uiPriority w:val="99"/>
    <w:unhideWhenUsed/>
    <w:rsid w:val="00C345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455D"/>
  </w:style>
  <w:style w:type="paragraph" w:styleId="Voettekst">
    <w:name w:val="footer"/>
    <w:basedOn w:val="Standaard"/>
    <w:link w:val="VoettekstChar"/>
    <w:uiPriority w:val="99"/>
    <w:unhideWhenUsed/>
    <w:rsid w:val="00C345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455D"/>
  </w:style>
  <w:style w:type="character" w:styleId="Hyperlink">
    <w:name w:val="Hyperlink"/>
    <w:basedOn w:val="Standaardalinea-lettertype"/>
    <w:uiPriority w:val="99"/>
    <w:unhideWhenUsed/>
    <w:rsid w:val="005558DD"/>
    <w:rPr>
      <w:color w:val="0563C1" w:themeColor="hyperlink"/>
      <w:u w:val="single"/>
    </w:rPr>
  </w:style>
  <w:style w:type="paragraph" w:styleId="Revisie">
    <w:name w:val="Revision"/>
    <w:hidden/>
    <w:uiPriority w:val="99"/>
    <w:semiHidden/>
    <w:rsid w:val="00FE0F35"/>
    <w:pPr>
      <w:spacing w:after="0" w:line="240" w:lineRule="auto"/>
    </w:pPr>
  </w:style>
  <w:style w:type="character" w:customStyle="1" w:styleId="Onopgelostemelding1">
    <w:name w:val="Onopgeloste melding1"/>
    <w:basedOn w:val="Standaardalinea-lettertype"/>
    <w:uiPriority w:val="99"/>
    <w:semiHidden/>
    <w:unhideWhenUsed/>
    <w:rsid w:val="00255A73"/>
    <w:rPr>
      <w:color w:val="605E5C"/>
      <w:shd w:val="clear" w:color="auto" w:fill="E1DFDD"/>
    </w:rPr>
  </w:style>
  <w:style w:type="character" w:customStyle="1" w:styleId="Kop1Char">
    <w:name w:val="Kop 1 Char"/>
    <w:basedOn w:val="Standaardalinea-lettertype"/>
    <w:link w:val="Kop1"/>
    <w:uiPriority w:val="9"/>
    <w:rsid w:val="002B4CE2"/>
    <w:rPr>
      <w:rFonts w:ascii="Times New Roman" w:eastAsia="Times New Roman" w:hAnsi="Times New Roman" w:cs="Times New Roman"/>
      <w:b/>
      <w:bCs/>
      <w:color w:val="000000"/>
      <w:kern w:val="36"/>
      <w:sz w:val="33"/>
      <w:szCs w:val="33"/>
      <w:lang w:eastAsia="nl-NL"/>
    </w:rPr>
  </w:style>
  <w:style w:type="character" w:customStyle="1" w:styleId="fm-vol-iss-date">
    <w:name w:val="fm-vol-iss-date"/>
    <w:basedOn w:val="Standaardalinea-lettertype"/>
    <w:rsid w:val="002B4CE2"/>
  </w:style>
  <w:style w:type="character" w:customStyle="1" w:styleId="doi2">
    <w:name w:val="doi2"/>
    <w:basedOn w:val="Standaardalinea-lettertype"/>
    <w:rsid w:val="002B4CE2"/>
  </w:style>
  <w:style w:type="character" w:customStyle="1" w:styleId="fm-citation-ids-label">
    <w:name w:val="fm-citation-ids-label"/>
    <w:basedOn w:val="Standaardalinea-lettertype"/>
    <w:rsid w:val="002B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51947">
      <w:bodyDiv w:val="1"/>
      <w:marLeft w:val="0"/>
      <w:marRight w:val="0"/>
      <w:marTop w:val="0"/>
      <w:marBottom w:val="0"/>
      <w:divBdr>
        <w:top w:val="none" w:sz="0" w:space="0" w:color="auto"/>
        <w:left w:val="none" w:sz="0" w:space="0" w:color="auto"/>
        <w:bottom w:val="none" w:sz="0" w:space="0" w:color="auto"/>
        <w:right w:val="none" w:sz="0" w:space="0" w:color="auto"/>
      </w:divBdr>
      <w:divsChild>
        <w:div w:id="2039425231">
          <w:marLeft w:val="0"/>
          <w:marRight w:val="1"/>
          <w:marTop w:val="0"/>
          <w:marBottom w:val="0"/>
          <w:divBdr>
            <w:top w:val="none" w:sz="0" w:space="0" w:color="auto"/>
            <w:left w:val="none" w:sz="0" w:space="0" w:color="auto"/>
            <w:bottom w:val="none" w:sz="0" w:space="0" w:color="auto"/>
            <w:right w:val="none" w:sz="0" w:space="0" w:color="auto"/>
          </w:divBdr>
          <w:divsChild>
            <w:div w:id="1061489154">
              <w:marLeft w:val="0"/>
              <w:marRight w:val="0"/>
              <w:marTop w:val="0"/>
              <w:marBottom w:val="0"/>
              <w:divBdr>
                <w:top w:val="none" w:sz="0" w:space="0" w:color="auto"/>
                <w:left w:val="none" w:sz="0" w:space="0" w:color="auto"/>
                <w:bottom w:val="none" w:sz="0" w:space="0" w:color="auto"/>
                <w:right w:val="none" w:sz="0" w:space="0" w:color="auto"/>
              </w:divBdr>
              <w:divsChild>
                <w:div w:id="1552421791">
                  <w:marLeft w:val="0"/>
                  <w:marRight w:val="0"/>
                  <w:marTop w:val="0"/>
                  <w:marBottom w:val="0"/>
                  <w:divBdr>
                    <w:top w:val="none" w:sz="0" w:space="0" w:color="auto"/>
                    <w:left w:val="none" w:sz="0" w:space="0" w:color="auto"/>
                    <w:bottom w:val="none" w:sz="0" w:space="0" w:color="auto"/>
                    <w:right w:val="none" w:sz="0" w:space="0" w:color="auto"/>
                  </w:divBdr>
                  <w:divsChild>
                    <w:div w:id="350842536">
                      <w:marLeft w:val="0"/>
                      <w:marRight w:val="0"/>
                      <w:marTop w:val="0"/>
                      <w:marBottom w:val="0"/>
                      <w:divBdr>
                        <w:top w:val="none" w:sz="0" w:space="0" w:color="auto"/>
                        <w:left w:val="none" w:sz="0" w:space="0" w:color="auto"/>
                        <w:bottom w:val="none" w:sz="0" w:space="0" w:color="auto"/>
                        <w:right w:val="none" w:sz="0" w:space="0" w:color="auto"/>
                      </w:divBdr>
                      <w:divsChild>
                        <w:div w:id="745419733">
                          <w:marLeft w:val="384"/>
                          <w:marRight w:val="384"/>
                          <w:marTop w:val="0"/>
                          <w:marBottom w:val="0"/>
                          <w:divBdr>
                            <w:top w:val="none" w:sz="0" w:space="0" w:color="auto"/>
                            <w:left w:val="none" w:sz="0" w:space="0" w:color="auto"/>
                            <w:bottom w:val="none" w:sz="0" w:space="0" w:color="auto"/>
                            <w:right w:val="none" w:sz="0" w:space="0" w:color="auto"/>
                          </w:divBdr>
                          <w:divsChild>
                            <w:div w:id="1165126678">
                              <w:marLeft w:val="0"/>
                              <w:marRight w:val="0"/>
                              <w:marTop w:val="0"/>
                              <w:marBottom w:val="0"/>
                              <w:divBdr>
                                <w:top w:val="none" w:sz="0" w:space="0" w:color="auto"/>
                                <w:left w:val="none" w:sz="0" w:space="0" w:color="auto"/>
                                <w:bottom w:val="none" w:sz="0" w:space="0" w:color="auto"/>
                                <w:right w:val="none" w:sz="0" w:space="0" w:color="auto"/>
                              </w:divBdr>
                              <w:divsChild>
                                <w:div w:id="465860301">
                                  <w:marLeft w:val="0"/>
                                  <w:marRight w:val="0"/>
                                  <w:marTop w:val="0"/>
                                  <w:marBottom w:val="0"/>
                                  <w:divBdr>
                                    <w:top w:val="none" w:sz="0" w:space="0" w:color="auto"/>
                                    <w:left w:val="none" w:sz="0" w:space="0" w:color="auto"/>
                                    <w:bottom w:val="none" w:sz="0" w:space="0" w:color="auto"/>
                                    <w:right w:val="none" w:sz="0" w:space="0" w:color="auto"/>
                                  </w:divBdr>
                                  <w:divsChild>
                                    <w:div w:id="1279532668">
                                      <w:marLeft w:val="0"/>
                                      <w:marRight w:val="0"/>
                                      <w:marTop w:val="0"/>
                                      <w:marBottom w:val="0"/>
                                      <w:divBdr>
                                        <w:top w:val="none" w:sz="0" w:space="0" w:color="auto"/>
                                        <w:left w:val="none" w:sz="0" w:space="0" w:color="auto"/>
                                        <w:bottom w:val="none" w:sz="0" w:space="0" w:color="auto"/>
                                        <w:right w:val="none" w:sz="0" w:space="0" w:color="auto"/>
                                      </w:divBdr>
                                      <w:divsChild>
                                        <w:div w:id="129179779">
                                          <w:marLeft w:val="0"/>
                                          <w:marRight w:val="0"/>
                                          <w:marTop w:val="0"/>
                                          <w:marBottom w:val="0"/>
                                          <w:divBdr>
                                            <w:top w:val="none" w:sz="0" w:space="0" w:color="auto"/>
                                            <w:left w:val="none" w:sz="0" w:space="0" w:color="auto"/>
                                            <w:bottom w:val="none" w:sz="0" w:space="0" w:color="auto"/>
                                            <w:right w:val="none" w:sz="0" w:space="0" w:color="auto"/>
                                          </w:divBdr>
                                          <w:divsChild>
                                            <w:div w:id="998536717">
                                              <w:marLeft w:val="0"/>
                                              <w:marRight w:val="0"/>
                                              <w:marTop w:val="0"/>
                                              <w:marBottom w:val="0"/>
                                              <w:divBdr>
                                                <w:top w:val="none" w:sz="0" w:space="0" w:color="auto"/>
                                                <w:left w:val="none" w:sz="0" w:space="0" w:color="auto"/>
                                                <w:bottom w:val="none" w:sz="0" w:space="0" w:color="auto"/>
                                                <w:right w:val="none" w:sz="0" w:space="0" w:color="auto"/>
                                              </w:divBdr>
                                              <w:divsChild>
                                                <w:div w:id="6100047">
                                                  <w:marLeft w:val="0"/>
                                                  <w:marRight w:val="0"/>
                                                  <w:marTop w:val="0"/>
                                                  <w:marBottom w:val="0"/>
                                                  <w:divBdr>
                                                    <w:top w:val="none" w:sz="0" w:space="0" w:color="auto"/>
                                                    <w:left w:val="none" w:sz="0" w:space="0" w:color="auto"/>
                                                    <w:bottom w:val="none" w:sz="0" w:space="0" w:color="auto"/>
                                                    <w:right w:val="none" w:sz="0" w:space="0" w:color="auto"/>
                                                  </w:divBdr>
                                                  <w:divsChild>
                                                    <w:div w:id="850217819">
                                                      <w:marLeft w:val="0"/>
                                                      <w:marRight w:val="0"/>
                                                      <w:marTop w:val="0"/>
                                                      <w:marBottom w:val="0"/>
                                                      <w:divBdr>
                                                        <w:top w:val="none" w:sz="0" w:space="0" w:color="auto"/>
                                                        <w:left w:val="none" w:sz="0" w:space="0" w:color="auto"/>
                                                        <w:bottom w:val="none" w:sz="0" w:space="0" w:color="auto"/>
                                                        <w:right w:val="none" w:sz="0" w:space="0" w:color="auto"/>
                                                      </w:divBdr>
                                                      <w:divsChild>
                                                        <w:div w:id="1344357479">
                                                          <w:marLeft w:val="0"/>
                                                          <w:marRight w:val="0"/>
                                                          <w:marTop w:val="0"/>
                                                          <w:marBottom w:val="0"/>
                                                          <w:divBdr>
                                                            <w:top w:val="none" w:sz="0" w:space="0" w:color="auto"/>
                                                            <w:left w:val="none" w:sz="0" w:space="0" w:color="auto"/>
                                                            <w:bottom w:val="none" w:sz="0" w:space="0" w:color="auto"/>
                                                            <w:right w:val="none" w:sz="0" w:space="0" w:color="auto"/>
                                                          </w:divBdr>
                                                          <w:divsChild>
                                                            <w:div w:id="2059745271">
                                                              <w:marLeft w:val="0"/>
                                                              <w:marRight w:val="0"/>
                                                              <w:marTop w:val="0"/>
                                                              <w:marBottom w:val="0"/>
                                                              <w:divBdr>
                                                                <w:top w:val="none" w:sz="0" w:space="0" w:color="auto"/>
                                                                <w:left w:val="none" w:sz="0" w:space="0" w:color="auto"/>
                                                                <w:bottom w:val="none" w:sz="0" w:space="0" w:color="auto"/>
                                                                <w:right w:val="none" w:sz="0" w:space="0" w:color="auto"/>
                                                              </w:divBdr>
                                                            </w:div>
                                                            <w:div w:id="3254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9796">
                                                      <w:marLeft w:val="240"/>
                                                      <w:marRight w:val="0"/>
                                                      <w:marTop w:val="0"/>
                                                      <w:marBottom w:val="0"/>
                                                      <w:divBdr>
                                                        <w:top w:val="none" w:sz="0" w:space="0" w:color="auto"/>
                                                        <w:left w:val="none" w:sz="0" w:space="0" w:color="auto"/>
                                                        <w:bottom w:val="none" w:sz="0" w:space="0" w:color="auto"/>
                                                        <w:right w:val="none" w:sz="0" w:space="0" w:color="auto"/>
                                                      </w:divBdr>
                                                      <w:divsChild>
                                                        <w:div w:id="1936329729">
                                                          <w:marLeft w:val="0"/>
                                                          <w:marRight w:val="0"/>
                                                          <w:marTop w:val="0"/>
                                                          <w:marBottom w:val="0"/>
                                                          <w:divBdr>
                                                            <w:top w:val="none" w:sz="0" w:space="0" w:color="auto"/>
                                                            <w:left w:val="none" w:sz="0" w:space="0" w:color="auto"/>
                                                            <w:bottom w:val="none" w:sz="0" w:space="0" w:color="auto"/>
                                                            <w:right w:val="none" w:sz="0" w:space="0" w:color="auto"/>
                                                          </w:divBdr>
                                                        </w:div>
                                                        <w:div w:id="2160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3860182">
      <w:bodyDiv w:val="1"/>
      <w:marLeft w:val="0"/>
      <w:marRight w:val="0"/>
      <w:marTop w:val="0"/>
      <w:marBottom w:val="0"/>
      <w:divBdr>
        <w:top w:val="none" w:sz="0" w:space="0" w:color="auto"/>
        <w:left w:val="none" w:sz="0" w:space="0" w:color="auto"/>
        <w:bottom w:val="none" w:sz="0" w:space="0" w:color="auto"/>
        <w:right w:val="none" w:sz="0" w:space="0" w:color="auto"/>
      </w:divBdr>
      <w:divsChild>
        <w:div w:id="770123293">
          <w:marLeft w:val="662"/>
          <w:marRight w:val="0"/>
          <w:marTop w:val="67"/>
          <w:marBottom w:val="0"/>
          <w:divBdr>
            <w:top w:val="none" w:sz="0" w:space="0" w:color="auto"/>
            <w:left w:val="none" w:sz="0" w:space="0" w:color="auto"/>
            <w:bottom w:val="none" w:sz="0" w:space="0" w:color="auto"/>
            <w:right w:val="none" w:sz="0" w:space="0" w:color="auto"/>
          </w:divBdr>
        </w:div>
        <w:div w:id="859858527">
          <w:marLeft w:val="662"/>
          <w:marRight w:val="0"/>
          <w:marTop w:val="67"/>
          <w:marBottom w:val="0"/>
          <w:divBdr>
            <w:top w:val="none" w:sz="0" w:space="0" w:color="auto"/>
            <w:left w:val="none" w:sz="0" w:space="0" w:color="auto"/>
            <w:bottom w:val="none" w:sz="0" w:space="0" w:color="auto"/>
            <w:right w:val="none" w:sz="0" w:space="0" w:color="auto"/>
          </w:divBdr>
        </w:div>
        <w:div w:id="1696081648">
          <w:marLeft w:val="662"/>
          <w:marRight w:val="0"/>
          <w:marTop w:val="67"/>
          <w:marBottom w:val="0"/>
          <w:divBdr>
            <w:top w:val="none" w:sz="0" w:space="0" w:color="auto"/>
            <w:left w:val="none" w:sz="0" w:space="0" w:color="auto"/>
            <w:bottom w:val="none" w:sz="0" w:space="0" w:color="auto"/>
            <w:right w:val="none" w:sz="0" w:space="0" w:color="auto"/>
          </w:divBdr>
        </w:div>
        <w:div w:id="1296256176">
          <w:marLeft w:val="662"/>
          <w:marRight w:val="0"/>
          <w:marTop w:val="67"/>
          <w:marBottom w:val="0"/>
          <w:divBdr>
            <w:top w:val="none" w:sz="0" w:space="0" w:color="auto"/>
            <w:left w:val="none" w:sz="0" w:space="0" w:color="auto"/>
            <w:bottom w:val="none" w:sz="0" w:space="0" w:color="auto"/>
            <w:right w:val="none" w:sz="0" w:space="0" w:color="auto"/>
          </w:divBdr>
        </w:div>
        <w:div w:id="331103545">
          <w:marLeft w:val="662"/>
          <w:marRight w:val="0"/>
          <w:marTop w:val="67"/>
          <w:marBottom w:val="0"/>
          <w:divBdr>
            <w:top w:val="none" w:sz="0" w:space="0" w:color="auto"/>
            <w:left w:val="none" w:sz="0" w:space="0" w:color="auto"/>
            <w:bottom w:val="none" w:sz="0" w:space="0" w:color="auto"/>
            <w:right w:val="none" w:sz="0" w:space="0" w:color="auto"/>
          </w:divBdr>
        </w:div>
        <w:div w:id="1287660211">
          <w:marLeft w:val="662"/>
          <w:marRight w:val="0"/>
          <w:marTop w:val="67"/>
          <w:marBottom w:val="0"/>
          <w:divBdr>
            <w:top w:val="none" w:sz="0" w:space="0" w:color="auto"/>
            <w:left w:val="none" w:sz="0" w:space="0" w:color="auto"/>
            <w:bottom w:val="none" w:sz="0" w:space="0" w:color="auto"/>
            <w:right w:val="none" w:sz="0" w:space="0" w:color="auto"/>
          </w:divBdr>
        </w:div>
      </w:divsChild>
    </w:div>
    <w:div w:id="135260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517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zwangerinlimburg.nl/sites/expectstudie/files/2pe_0.pdf" TargetMode="External"/><Relationship Id="rId4" Type="http://schemas.openxmlformats.org/officeDocument/2006/relationships/settings" Target="settings.xml"/><Relationship Id="rId9" Type="http://schemas.openxmlformats.org/officeDocument/2006/relationships/hyperlink" Target="http://www.nvog.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www.google.nl/url?sa=i&amp;rct=j&amp;q=&amp;esrc=s&amp;source=images&amp;cd=&amp;cad=rja&amp;uact=8&amp;ved=2ahUKEwjdprT33Y3aAhVrLcAKHZTXDR4QjRx6BAgAEAU&amp;url=https://www.haaglandenmc.nl/&amp;psig=AOvVaw2-5cxqYIRjztTtEJ90o474&amp;ust=152228238155700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4B358-C24B-40F1-85E7-2271EB80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HagaZiekenhuis</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reitz</dc:creator>
  <cp:lastModifiedBy>Marga Kortekaas</cp:lastModifiedBy>
  <cp:revision>2</cp:revision>
  <cp:lastPrinted>2021-03-11T14:10:00Z</cp:lastPrinted>
  <dcterms:created xsi:type="dcterms:W3CDTF">2021-03-15T10:51:00Z</dcterms:created>
  <dcterms:modified xsi:type="dcterms:W3CDTF">2021-03-15T10:51:00Z</dcterms:modified>
</cp:coreProperties>
</file>